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E789A" w:rsidRDefault="00AE789A" w:rsidP="007D4C62">
      <w:pPr>
        <w:pStyle w:val="1"/>
        <w:suppressAutoHyphens/>
        <w:spacing w:before="108" w:after="108"/>
        <w:jc w:val="right"/>
        <w:rPr>
          <w:bCs/>
          <w:color w:val="26282F"/>
          <w:sz w:val="28"/>
          <w:szCs w:val="28"/>
        </w:rPr>
      </w:pPr>
    </w:p>
    <w:p w:rsidR="00867052" w:rsidRDefault="00867052" w:rsidP="00867052">
      <w:pPr>
        <w:pStyle w:val="a3"/>
      </w:pPr>
      <w:r>
        <w:t xml:space="preserve">                                                                                                                                   </w:t>
      </w:r>
      <w:bookmarkStart w:id="0" w:name="_GoBack"/>
      <w:r>
        <w:t xml:space="preserve">Приложение № 2 </w:t>
      </w:r>
    </w:p>
    <w:p w:rsidR="00867052" w:rsidRDefault="00867052" w:rsidP="00867052">
      <w:pPr>
        <w:pStyle w:val="a3"/>
      </w:pPr>
      <w:r>
        <w:t xml:space="preserve">                                                                                                                      к </w:t>
      </w:r>
      <w:r w:rsidRPr="00AE789A">
        <w:t>Положени</w:t>
      </w:r>
      <w:r>
        <w:t xml:space="preserve">ю </w:t>
      </w:r>
      <w:r w:rsidRPr="00AE789A">
        <w:t xml:space="preserve">о закупках </w:t>
      </w:r>
    </w:p>
    <w:p w:rsidR="00867052" w:rsidRDefault="00867052" w:rsidP="00867052">
      <w:pPr>
        <w:pStyle w:val="a3"/>
      </w:pPr>
      <w:r>
        <w:t xml:space="preserve">                                                                                       </w:t>
      </w:r>
      <w:r w:rsidRPr="00AE789A">
        <w:t xml:space="preserve">товаров, работ, услуг для нужд АО Прибой </w:t>
      </w:r>
    </w:p>
    <w:p w:rsidR="00867052" w:rsidRDefault="00867052" w:rsidP="00867052">
      <w:pPr>
        <w:pStyle w:val="a3"/>
      </w:pPr>
      <w:r>
        <w:t xml:space="preserve">                                                                                    (новая редакция)   </w:t>
      </w:r>
      <w:r w:rsidRPr="00AE789A">
        <w:t xml:space="preserve">от </w:t>
      </w:r>
      <w:r>
        <w:t xml:space="preserve">17 июня </w:t>
      </w:r>
      <w:r w:rsidRPr="00AE789A">
        <w:t>20</w:t>
      </w:r>
      <w:r>
        <w:t>21г</w:t>
      </w:r>
      <w:bookmarkEnd w:id="0"/>
      <w:r>
        <w:t>.</w:t>
      </w:r>
    </w:p>
    <w:p w:rsidR="007D4C62" w:rsidRDefault="007D4C62" w:rsidP="0093704B">
      <w:pPr>
        <w:pStyle w:val="1"/>
        <w:suppressAutoHyphens/>
        <w:spacing w:before="108" w:after="108"/>
        <w:jc w:val="center"/>
        <w:rPr>
          <w:b/>
          <w:bCs/>
          <w:color w:val="26282F"/>
        </w:rPr>
      </w:pPr>
    </w:p>
    <w:p w:rsidR="0093704B" w:rsidRDefault="00D278CF" w:rsidP="0093704B">
      <w:pPr>
        <w:pStyle w:val="1"/>
        <w:suppressAutoHyphens/>
        <w:spacing w:before="108" w:after="108"/>
        <w:jc w:val="center"/>
        <w:rPr>
          <w:b/>
          <w:bCs/>
          <w:color w:val="26282F"/>
        </w:rPr>
      </w:pPr>
      <w:r>
        <w:rPr>
          <w:b/>
          <w:bCs/>
          <w:color w:val="26282F"/>
        </w:rPr>
        <w:t xml:space="preserve">Методика </w:t>
      </w:r>
      <w:r w:rsidR="0093704B">
        <w:rPr>
          <w:b/>
          <w:bCs/>
          <w:color w:val="26282F"/>
        </w:rPr>
        <w:t xml:space="preserve">оценки </w:t>
      </w:r>
      <w:r w:rsidR="00702764">
        <w:rPr>
          <w:b/>
          <w:bCs/>
          <w:color w:val="26282F"/>
        </w:rPr>
        <w:t xml:space="preserve">и сопоставления </w:t>
      </w:r>
      <w:r w:rsidR="0093704B">
        <w:rPr>
          <w:b/>
          <w:bCs/>
          <w:color w:val="26282F"/>
        </w:rPr>
        <w:t xml:space="preserve">заявок, окончательных предложений участников закупки товаров, работ, услуг для </w:t>
      </w:r>
      <w:r w:rsidR="00CD0DDF">
        <w:rPr>
          <w:b/>
          <w:bCs/>
          <w:color w:val="26282F"/>
        </w:rPr>
        <w:t>нужд АО «Прибой»</w:t>
      </w:r>
    </w:p>
    <w:p w:rsidR="0093704B" w:rsidRDefault="0093704B" w:rsidP="0093704B">
      <w:pPr>
        <w:suppressAutoHyphens/>
        <w:ind w:firstLine="720"/>
        <w:jc w:val="both"/>
      </w:pPr>
    </w:p>
    <w:p w:rsidR="0093704B" w:rsidRDefault="0093704B" w:rsidP="00C747B4">
      <w:pPr>
        <w:pStyle w:val="1"/>
        <w:numPr>
          <w:ilvl w:val="0"/>
          <w:numId w:val="2"/>
        </w:numPr>
        <w:suppressAutoHyphens/>
        <w:spacing w:before="108" w:after="108"/>
        <w:jc w:val="center"/>
        <w:rPr>
          <w:b/>
          <w:bCs/>
          <w:color w:val="26282F"/>
        </w:rPr>
      </w:pPr>
      <w:r>
        <w:rPr>
          <w:b/>
          <w:bCs/>
          <w:color w:val="26282F"/>
        </w:rPr>
        <w:t>Общие положения</w:t>
      </w:r>
    </w:p>
    <w:p w:rsidR="0093704B" w:rsidRDefault="0093704B" w:rsidP="0093704B">
      <w:pPr>
        <w:suppressAutoHyphens/>
        <w:ind w:firstLine="720"/>
        <w:jc w:val="both"/>
      </w:pPr>
    </w:p>
    <w:p w:rsidR="0093704B" w:rsidRPr="004D1F41" w:rsidRDefault="00CE3B55" w:rsidP="00C747B4">
      <w:pPr>
        <w:pStyle w:val="a9"/>
        <w:numPr>
          <w:ilvl w:val="1"/>
          <w:numId w:val="2"/>
        </w:numPr>
        <w:suppressAutoHyphens/>
        <w:ind w:left="0" w:firstLine="709"/>
        <w:jc w:val="both"/>
      </w:pPr>
      <w:r w:rsidRPr="004D1F41">
        <w:t>Методика определяе</w:t>
      </w:r>
      <w:r w:rsidR="0093704B" w:rsidRPr="004D1F41">
        <w:t xml:space="preserve">т порядок оценки заявок, окончательных предложений участников закупки товаров, работ, услуг для </w:t>
      </w:r>
      <w:r w:rsidRPr="004D1F41">
        <w:t xml:space="preserve">нужд АО «Прибой» </w:t>
      </w:r>
      <w:r w:rsidR="0093704B" w:rsidRPr="004D1F41">
        <w:t xml:space="preserve">в целях выявления лучших из предложенных условий исполнения </w:t>
      </w:r>
      <w:r w:rsidR="00E56DC8" w:rsidRPr="004D1F41">
        <w:t xml:space="preserve">договора </w:t>
      </w:r>
      <w:r w:rsidR="0093704B" w:rsidRPr="004D1F41">
        <w:t>при проведении закупки</w:t>
      </w:r>
      <w:r w:rsidR="00E56DC8" w:rsidRPr="004D1F41">
        <w:t>.</w:t>
      </w:r>
    </w:p>
    <w:p w:rsidR="0093704B" w:rsidRPr="004D1F41" w:rsidRDefault="00295466" w:rsidP="00C747B4">
      <w:pPr>
        <w:pStyle w:val="a9"/>
        <w:numPr>
          <w:ilvl w:val="1"/>
          <w:numId w:val="2"/>
        </w:numPr>
        <w:suppressAutoHyphens/>
        <w:ind w:left="0" w:firstLine="709"/>
        <w:jc w:val="both"/>
      </w:pPr>
      <w:r w:rsidRPr="004D1F41">
        <w:t>Методика применяе</w:t>
      </w:r>
      <w:r w:rsidR="0093704B" w:rsidRPr="004D1F41">
        <w:t>тся в отношении всех закупок, за исключением закупок, осуществляемых путем проведения аукциона, запроса котировок, у единственного пос</w:t>
      </w:r>
      <w:r w:rsidR="008F14FB" w:rsidRPr="004D1F41">
        <w:t>тавщика (подрядчика, исполнителя).</w:t>
      </w:r>
    </w:p>
    <w:p w:rsidR="0093704B" w:rsidRPr="004D1F41" w:rsidRDefault="009A7DC1" w:rsidP="00C747B4">
      <w:pPr>
        <w:pStyle w:val="a9"/>
        <w:numPr>
          <w:ilvl w:val="1"/>
          <w:numId w:val="2"/>
        </w:numPr>
        <w:suppressAutoHyphens/>
        <w:ind w:left="0" w:firstLine="709"/>
        <w:jc w:val="both"/>
      </w:pPr>
      <w:r w:rsidRPr="004D1F41">
        <w:t xml:space="preserve"> В настоящей Методике</w:t>
      </w:r>
      <w:r w:rsidR="0093704B" w:rsidRPr="004D1F41">
        <w:t xml:space="preserve"> применяются следующие термины:</w:t>
      </w:r>
    </w:p>
    <w:p w:rsidR="0093704B" w:rsidRPr="004D1F41" w:rsidRDefault="0093704B" w:rsidP="00C747B4">
      <w:pPr>
        <w:pStyle w:val="a9"/>
        <w:suppressAutoHyphens/>
        <w:ind w:left="0" w:firstLine="709"/>
        <w:jc w:val="both"/>
      </w:pPr>
      <w:r w:rsidRPr="004D1F41">
        <w:t xml:space="preserve">"оценка" - процесс выявления в соответствии с условиями определения поставщиков (подрядчиков, исполнителей) по критериям оценки и в порядке, установленном </w:t>
      </w:r>
      <w:r w:rsidR="009A7DC1" w:rsidRPr="004D1F41">
        <w:t>в документации о закупке в соответствии с требованиями настоящей Методики, лучших условий исполнения договора</w:t>
      </w:r>
      <w:r w:rsidRPr="004D1F41">
        <w:t>, указанных в заявках (предложениях) участников закупки, которые не были отклонены;</w:t>
      </w:r>
    </w:p>
    <w:p w:rsidR="0093704B" w:rsidRPr="004D1F41" w:rsidRDefault="0093704B" w:rsidP="00C747B4">
      <w:pPr>
        <w:pStyle w:val="a9"/>
        <w:suppressAutoHyphens/>
        <w:ind w:left="0" w:firstLine="709"/>
        <w:jc w:val="both"/>
      </w:pPr>
      <w:r w:rsidRPr="004D1F41">
        <w:t>"значимость критерия оценки" - вес критерия оценки в совокупности критериев оценки, установленных в документации о закупке в соответствии с требо</w:t>
      </w:r>
      <w:r w:rsidR="009A7DC1" w:rsidRPr="004D1F41">
        <w:t>ваниями настоящей Методики, выраженной</w:t>
      </w:r>
      <w:r w:rsidRPr="004D1F41">
        <w:t xml:space="preserve"> в процентах;</w:t>
      </w:r>
    </w:p>
    <w:p w:rsidR="0093704B" w:rsidRPr="004D1F41" w:rsidRDefault="0093704B" w:rsidP="00C747B4">
      <w:pPr>
        <w:pStyle w:val="a9"/>
        <w:suppressAutoHyphens/>
        <w:ind w:left="0" w:firstLine="709"/>
        <w:jc w:val="both"/>
      </w:pPr>
      <w:r w:rsidRPr="004D1F41">
        <w:t>"коэффициент значимости критерия оценки" - вес критерия оценки в совокупности критериев оценки, установленных в документации о закупке в соотв</w:t>
      </w:r>
      <w:r w:rsidR="004C3E5A" w:rsidRPr="004D1F41">
        <w:t>етствии с требованиями настоящей Методики</w:t>
      </w:r>
      <w:r w:rsidRPr="004D1F41">
        <w:t>, деленный на 100;</w:t>
      </w:r>
    </w:p>
    <w:p w:rsidR="0093704B" w:rsidRPr="004D1F41" w:rsidRDefault="0093704B" w:rsidP="00C747B4">
      <w:pPr>
        <w:pStyle w:val="a9"/>
        <w:suppressAutoHyphens/>
        <w:ind w:left="0" w:firstLine="709"/>
        <w:jc w:val="both"/>
      </w:pPr>
      <w:r w:rsidRPr="004D1F41">
        <w:t>"рейтинг заявки (предложения) по критерию оценки" - оценка в баллах, получаемая участником закупки по результатам оценки по критерию оценки с учетом коэффицие</w:t>
      </w:r>
      <w:r w:rsidR="00942148" w:rsidRPr="004D1F41">
        <w:t>нта значимости критерия оценки.</w:t>
      </w:r>
    </w:p>
    <w:p w:rsidR="0093704B" w:rsidRPr="004D1F41" w:rsidRDefault="00942148" w:rsidP="00C747B4">
      <w:pPr>
        <w:pStyle w:val="a9"/>
        <w:numPr>
          <w:ilvl w:val="1"/>
          <w:numId w:val="2"/>
        </w:numPr>
        <w:suppressAutoHyphens/>
        <w:ind w:left="0" w:firstLine="709"/>
        <w:jc w:val="both"/>
      </w:pPr>
      <w:r w:rsidRPr="004D1F41">
        <w:t>В целях настоящей Методики</w:t>
      </w:r>
      <w:r w:rsidR="0093704B" w:rsidRPr="004D1F41">
        <w:t xml:space="preserve"> д</w:t>
      </w:r>
      <w:r w:rsidRPr="004D1F41">
        <w:t>ля оценки заявок (предложений) З</w:t>
      </w:r>
      <w:r w:rsidR="0093704B" w:rsidRPr="004D1F41">
        <w:t>аказчик устанавливает в документации о закупке следующие критерии оценки:</w:t>
      </w:r>
    </w:p>
    <w:p w:rsidR="0093704B" w:rsidRPr="004D1F41" w:rsidRDefault="0093704B" w:rsidP="00C747B4">
      <w:pPr>
        <w:pStyle w:val="a9"/>
        <w:suppressAutoHyphens/>
        <w:ind w:left="709"/>
        <w:jc w:val="both"/>
      </w:pPr>
      <w:r w:rsidRPr="004D1F41">
        <w:t xml:space="preserve">а) характеризующиеся </w:t>
      </w:r>
      <w:r w:rsidR="00B23508" w:rsidRPr="004D1F41">
        <w:t>ка</w:t>
      </w:r>
      <w:r w:rsidR="00F54D2E" w:rsidRPr="004D1F41">
        <w:t>к стоимостные критерии оценки (</w:t>
      </w:r>
      <w:r w:rsidR="00942148" w:rsidRPr="004D1F41">
        <w:t>цена договора</w:t>
      </w:r>
      <w:r w:rsidR="00F54D2E" w:rsidRPr="004D1F41">
        <w:t>)</w:t>
      </w:r>
      <w:r w:rsidR="00D64124" w:rsidRPr="004D1F41">
        <w:t>.</w:t>
      </w:r>
    </w:p>
    <w:p w:rsidR="0093704B" w:rsidRPr="004D1F41" w:rsidRDefault="0093704B" w:rsidP="00C747B4">
      <w:pPr>
        <w:pStyle w:val="a9"/>
        <w:suppressAutoHyphens/>
        <w:ind w:left="709"/>
        <w:jc w:val="both"/>
      </w:pPr>
      <w:r w:rsidRPr="004D1F41">
        <w:t>б) характеризующиеся ка</w:t>
      </w:r>
      <w:r w:rsidR="003F6387">
        <w:t xml:space="preserve">к </w:t>
      </w:r>
      <w:proofErr w:type="spellStart"/>
      <w:r w:rsidR="003F6387">
        <w:t>нестоимостные</w:t>
      </w:r>
      <w:proofErr w:type="spellEnd"/>
      <w:r w:rsidR="003F6387">
        <w:t xml:space="preserve"> критерии оценки.</w:t>
      </w:r>
    </w:p>
    <w:p w:rsidR="0093704B" w:rsidRPr="004D1F41" w:rsidRDefault="00657299" w:rsidP="00C747B4">
      <w:pPr>
        <w:pStyle w:val="a9"/>
        <w:numPr>
          <w:ilvl w:val="1"/>
          <w:numId w:val="2"/>
        </w:numPr>
        <w:suppressAutoHyphens/>
        <w:ind w:left="0" w:firstLine="709"/>
        <w:jc w:val="both"/>
      </w:pPr>
      <w:r w:rsidRPr="004D1F41">
        <w:t>В документации о закупке З</w:t>
      </w:r>
      <w:r w:rsidR="00420178" w:rsidRPr="004D1F41">
        <w:t>аказчик указывает</w:t>
      </w:r>
      <w:r w:rsidR="0093704B" w:rsidRPr="004D1F41">
        <w:t xml:space="preserve"> используемые для определения поставщика (подрядчика, исполнителя) критерии оценки и величи</w:t>
      </w:r>
      <w:r w:rsidR="002020D4" w:rsidRPr="004D1F41">
        <w:t xml:space="preserve">ны значимости критериев оценки. </w:t>
      </w:r>
      <w:r w:rsidR="0093704B" w:rsidRPr="004D1F41">
        <w:t>При этом количество используемых для определения поставщика (подрядчика, исполнителя) критериев оценки при осуществлении закупки должно быть не менее двух, одним из которых должен быть</w:t>
      </w:r>
      <w:r w:rsidR="005A3DF3" w:rsidRPr="004D1F41">
        <w:t xml:space="preserve"> кр</w:t>
      </w:r>
      <w:r w:rsidR="00175C13" w:rsidRPr="004D1F41">
        <w:t xml:space="preserve">итерий оценки </w:t>
      </w:r>
      <w:r w:rsidR="005C0DCE" w:rsidRPr="004D1F41">
        <w:t>«</w:t>
      </w:r>
      <w:r w:rsidR="00175C13" w:rsidRPr="004D1F41">
        <w:t>цена дог</w:t>
      </w:r>
      <w:r w:rsidR="005A3DF3" w:rsidRPr="004D1F41">
        <w:t>ов</w:t>
      </w:r>
      <w:r w:rsidR="00175C13" w:rsidRPr="004D1F41">
        <w:t>о</w:t>
      </w:r>
      <w:r w:rsidR="005A3DF3" w:rsidRPr="004D1F41">
        <w:t>ра</w:t>
      </w:r>
      <w:r w:rsidR="005C0DCE" w:rsidRPr="004D1F41">
        <w:t>»</w:t>
      </w:r>
      <w:r w:rsidR="00175C13" w:rsidRPr="004D1F41">
        <w:t>.</w:t>
      </w:r>
    </w:p>
    <w:p w:rsidR="0093704B" w:rsidRDefault="0093704B" w:rsidP="00C747B4">
      <w:pPr>
        <w:pStyle w:val="a9"/>
        <w:numPr>
          <w:ilvl w:val="1"/>
          <w:numId w:val="2"/>
        </w:numPr>
        <w:suppressAutoHyphens/>
        <w:ind w:left="0" w:firstLine="709"/>
        <w:jc w:val="both"/>
      </w:pPr>
      <w:r w:rsidRPr="004D1F41">
        <w:t>Сумма величин значимости</w:t>
      </w:r>
      <w:r w:rsidR="006362AE" w:rsidRPr="004D1F41">
        <w:t xml:space="preserve"> критериев оценки, применяемых З</w:t>
      </w:r>
      <w:r w:rsidRPr="004D1F41">
        <w:t>аказчиком, д</w:t>
      </w:r>
      <w:r w:rsidR="00F479FD" w:rsidRPr="004D1F41">
        <w:t>олжна составлять 100 процентов.</w:t>
      </w:r>
    </w:p>
    <w:p w:rsidR="001A2F98" w:rsidRDefault="001A2F98" w:rsidP="00C747B4">
      <w:pPr>
        <w:pStyle w:val="a9"/>
        <w:numPr>
          <w:ilvl w:val="1"/>
          <w:numId w:val="2"/>
        </w:numPr>
        <w:suppressAutoHyphens/>
        <w:ind w:left="0" w:firstLine="709"/>
        <w:jc w:val="both"/>
      </w:pPr>
      <w:r w:rsidRPr="0041794C">
        <w:t xml:space="preserve">В документации о закупке в отношении </w:t>
      </w:r>
      <w:proofErr w:type="spellStart"/>
      <w:r w:rsidRPr="0041794C">
        <w:t>нестоимостных</w:t>
      </w:r>
      <w:proofErr w:type="spellEnd"/>
      <w:r w:rsidRPr="0041794C">
        <w:t xml:space="preserve"> критериев оценки могут быть предусмотрены показатели, раскрывающие содержание </w:t>
      </w:r>
      <w:proofErr w:type="spellStart"/>
      <w:r w:rsidRPr="0041794C">
        <w:t>нестоимостных</w:t>
      </w:r>
      <w:proofErr w:type="spellEnd"/>
      <w:r w:rsidRPr="0041794C">
        <w:t xml:space="preserve"> </w:t>
      </w:r>
      <w:r w:rsidRPr="0041794C">
        <w:lastRenderedPageBreak/>
        <w:t xml:space="preserve">критериев оценки и учитывающие особенности оценки закупаемых товаров, работ, услуг по </w:t>
      </w:r>
      <w:proofErr w:type="spellStart"/>
      <w:r w:rsidRPr="0041794C">
        <w:t>нестоимостным</w:t>
      </w:r>
      <w:proofErr w:type="spellEnd"/>
      <w:r w:rsidRPr="0041794C">
        <w:t xml:space="preserve"> критериям оценки.</w:t>
      </w:r>
    </w:p>
    <w:p w:rsidR="0093704B" w:rsidRDefault="0093704B" w:rsidP="00C747B4">
      <w:pPr>
        <w:pStyle w:val="a9"/>
        <w:numPr>
          <w:ilvl w:val="1"/>
          <w:numId w:val="2"/>
        </w:numPr>
        <w:suppressAutoHyphens/>
        <w:ind w:left="0" w:firstLine="709"/>
        <w:jc w:val="both"/>
      </w:pPr>
      <w:r w:rsidRPr="004D1F41">
        <w:t>Для оценки заявок (предложений) по каждому критерию оценки использу</w:t>
      </w:r>
      <w:r w:rsidR="006362AE" w:rsidRPr="004D1F41">
        <w:t xml:space="preserve">ется балльная шкала оценки. </w:t>
      </w:r>
      <w:r w:rsidR="001A2F98">
        <w:t xml:space="preserve">Если </w:t>
      </w:r>
      <w:r w:rsidR="001A2F98" w:rsidRPr="0041794C">
        <w:t xml:space="preserve">в отношении критерия оценки в документации о закупке Заказчиком предусматриваются показатели, то для каждого показателя устанавливается его значимость, в соответствии с которой будет производиться оценка, и </w:t>
      </w:r>
      <w:r w:rsidR="00D174A0">
        <w:t xml:space="preserve">порядок расчета </w:t>
      </w:r>
      <w:r w:rsidR="001A2F98" w:rsidRPr="0041794C">
        <w:t>количества баллов, при</w:t>
      </w:r>
      <w:r w:rsidR="00D174A0">
        <w:t>суждаемых по таким показателям</w:t>
      </w:r>
      <w:proofErr w:type="gramStart"/>
      <w:r w:rsidR="00D174A0">
        <w:t>.</w:t>
      </w:r>
      <w:r w:rsidR="001A2F98" w:rsidRPr="0041794C">
        <w:t>.</w:t>
      </w:r>
      <w:proofErr w:type="gramEnd"/>
    </w:p>
    <w:p w:rsidR="00DB161E" w:rsidRPr="004D1F41" w:rsidRDefault="00DB161E" w:rsidP="00C747B4">
      <w:pPr>
        <w:pStyle w:val="a9"/>
        <w:numPr>
          <w:ilvl w:val="1"/>
          <w:numId w:val="2"/>
        </w:numPr>
        <w:suppressAutoHyphens/>
        <w:ind w:left="0" w:firstLine="709"/>
        <w:jc w:val="both"/>
      </w:pPr>
      <w:r w:rsidRPr="0041794C">
        <w:t xml:space="preserve">Сумма </w:t>
      </w:r>
      <w:proofErr w:type="gramStart"/>
      <w:r w:rsidRPr="0041794C">
        <w:t>величин значимости показателей критерия оценки</w:t>
      </w:r>
      <w:proofErr w:type="gramEnd"/>
      <w:r w:rsidRPr="0041794C">
        <w:t xml:space="preserve"> должна составлять 100 процентов</w:t>
      </w:r>
    </w:p>
    <w:p w:rsidR="0093704B" w:rsidRPr="004D1F41" w:rsidRDefault="0093704B" w:rsidP="00C747B4">
      <w:pPr>
        <w:pStyle w:val="a9"/>
        <w:numPr>
          <w:ilvl w:val="1"/>
          <w:numId w:val="2"/>
        </w:numPr>
        <w:suppressAutoHyphens/>
        <w:ind w:left="0" w:firstLine="709"/>
        <w:jc w:val="both"/>
      </w:pPr>
      <w:r w:rsidRPr="004D1F41">
        <w:t>Итоговый рейтинг заявки (предложения) вычисляется как сумма рейтингов по каждому критер</w:t>
      </w:r>
      <w:r w:rsidR="004D1F41">
        <w:t>ию оценки заявки (предложения) (</w:t>
      </w:r>
      <w:r w:rsidR="004D1F41">
        <w:rPr>
          <w:lang w:val="en-US"/>
        </w:rPr>
        <w:t>R</w:t>
      </w:r>
      <w:r w:rsidR="004D1F41" w:rsidRPr="004D1F41">
        <w:t>)</w:t>
      </w:r>
      <w:r w:rsidR="004D1F41">
        <w:t>:</w:t>
      </w:r>
    </w:p>
    <w:p w:rsidR="004D1F41" w:rsidRPr="004D1F41" w:rsidRDefault="004D1F41" w:rsidP="004D1F41">
      <w:pPr>
        <w:pStyle w:val="a9"/>
        <w:suppressAutoHyphens/>
        <w:ind w:left="709"/>
        <w:jc w:val="both"/>
      </w:pPr>
    </w:p>
    <w:p w:rsidR="004D1F41" w:rsidRPr="004D1F41" w:rsidRDefault="001A2F98" w:rsidP="004D1F41">
      <w:pPr>
        <w:pStyle w:val="a9"/>
        <w:suppressAutoHyphens/>
        <w:ind w:left="709"/>
        <w:jc w:val="both"/>
      </w:pPr>
      <m:oMathPara>
        <m:oMath>
          <m:r>
            <w:rPr>
              <w:rFonts w:ascii="Cambria Math" w:hAnsi="Cambria Math"/>
            </w:rPr>
            <m:t>R=</m:t>
          </m:r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R</m:t>
              </m:r>
            </m:e>
            <m:sub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ЦБ</m:t>
                  </m:r>
                </m:e>
                <m:sub>
                  <m:r>
                    <w:rPr>
                      <w:rFonts w:ascii="Cambria Math" w:hAnsi="Cambria Math"/>
                    </w:rPr>
                    <m:t xml:space="preserve">i  </m:t>
                  </m:r>
                </m:sub>
              </m:sSub>
            </m:sub>
          </m:sSub>
          <m:r>
            <w:rPr>
              <w:rFonts w:ascii="Cambria Math" w:hAnsi="Cambria Math"/>
            </w:rPr>
            <m:t xml:space="preserve">+ </m:t>
          </m:r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R</m:t>
              </m:r>
            </m:e>
            <m:sub>
              <m:r>
                <w:rPr>
                  <w:rFonts w:ascii="Cambria Math" w:hAnsi="Cambria Math"/>
                </w:rPr>
                <m:t>НЦБ</m:t>
              </m:r>
            </m:sub>
          </m:sSub>
          <m:r>
            <w:rPr>
              <w:rFonts w:ascii="Cambria Math" w:hAnsi="Cambria Math"/>
            </w:rPr>
            <m:t>,</m:t>
          </m:r>
        </m:oMath>
      </m:oMathPara>
    </w:p>
    <w:p w:rsidR="00432430" w:rsidRPr="00432430" w:rsidRDefault="00432430" w:rsidP="004D1F41">
      <w:pPr>
        <w:pStyle w:val="a9"/>
        <w:suppressAutoHyphens/>
        <w:ind w:left="709"/>
        <w:jc w:val="both"/>
      </w:pPr>
      <w:r w:rsidRPr="00432430">
        <w:t>где:</w:t>
      </w:r>
    </w:p>
    <w:p w:rsidR="004D1F41" w:rsidRPr="005A1097" w:rsidRDefault="00432430" w:rsidP="004D1F41">
      <w:pPr>
        <w:pStyle w:val="a9"/>
        <w:suppressAutoHyphens/>
        <w:ind w:left="709"/>
        <w:jc w:val="both"/>
      </w:pPr>
      <w:r w:rsidRPr="005A1097">
        <w:rPr>
          <w:lang w:val="en-US"/>
        </w:rPr>
        <w:t>R</w:t>
      </w:r>
      <w:r w:rsidRPr="005A1097">
        <w:rPr>
          <w:vertAlign w:val="subscript"/>
        </w:rPr>
        <w:t>ЦБ</w:t>
      </w:r>
      <w:proofErr w:type="spellStart"/>
      <w:r w:rsidRPr="005A1097">
        <w:rPr>
          <w:vertAlign w:val="subscript"/>
          <w:lang w:val="en-US"/>
        </w:rPr>
        <w:t>i</w:t>
      </w:r>
      <w:proofErr w:type="spellEnd"/>
      <w:r w:rsidRPr="005A1097">
        <w:t xml:space="preserve"> - рейтинг по критерию оценки «Цена договора»;</w:t>
      </w:r>
    </w:p>
    <w:p w:rsidR="00432430" w:rsidRPr="005A1097" w:rsidRDefault="00432430" w:rsidP="004D1F41">
      <w:pPr>
        <w:pStyle w:val="a9"/>
        <w:suppressAutoHyphens/>
        <w:ind w:left="709"/>
        <w:jc w:val="both"/>
      </w:pPr>
      <w:proofErr w:type="gramStart"/>
      <w:r w:rsidRPr="005A1097">
        <w:rPr>
          <w:lang w:val="en-US"/>
        </w:rPr>
        <w:t>R</w:t>
      </w:r>
      <w:r w:rsidRPr="005A1097">
        <w:rPr>
          <w:vertAlign w:val="subscript"/>
        </w:rPr>
        <w:t>НЦБ</w:t>
      </w:r>
      <w:r w:rsidR="00DB161E">
        <w:rPr>
          <w:vertAlign w:val="subscript"/>
        </w:rPr>
        <w:t xml:space="preserve"> </w:t>
      </w:r>
      <w:r w:rsidRPr="005A1097">
        <w:t xml:space="preserve">- рейтинг по </w:t>
      </w:r>
      <w:proofErr w:type="spellStart"/>
      <w:r w:rsidR="001A2F98">
        <w:t>нестоимостному</w:t>
      </w:r>
      <w:proofErr w:type="spellEnd"/>
      <w:r w:rsidR="001A2F98">
        <w:t xml:space="preserve"> критерию оценки.</w:t>
      </w:r>
      <w:proofErr w:type="gramEnd"/>
    </w:p>
    <w:p w:rsidR="0093704B" w:rsidRPr="004D1F41" w:rsidRDefault="0093704B" w:rsidP="00C747B4">
      <w:pPr>
        <w:pStyle w:val="a9"/>
        <w:numPr>
          <w:ilvl w:val="1"/>
          <w:numId w:val="2"/>
        </w:numPr>
        <w:suppressAutoHyphens/>
        <w:ind w:left="0" w:firstLine="709"/>
        <w:jc w:val="both"/>
      </w:pPr>
      <w:r w:rsidRPr="004D1F41">
        <w:t xml:space="preserve">Победителем признается участник закупки, заявке (предложению) которого присвоен </w:t>
      </w:r>
      <w:r w:rsidR="00AA0FC3" w:rsidRPr="004D1F41">
        <w:t xml:space="preserve">самый высокий итоговый рейтинг. </w:t>
      </w:r>
      <w:r w:rsidRPr="004D1F41">
        <w:t>Заявке (предложению) такого участника закупки присваи</w:t>
      </w:r>
      <w:r w:rsidR="00AA0FC3" w:rsidRPr="004D1F41">
        <w:t>вается первый порядковый номер.</w:t>
      </w:r>
    </w:p>
    <w:p w:rsidR="0093704B" w:rsidRPr="004D1F41" w:rsidRDefault="0093704B" w:rsidP="0093704B">
      <w:pPr>
        <w:suppressAutoHyphens/>
        <w:ind w:firstLine="720"/>
        <w:jc w:val="both"/>
      </w:pPr>
    </w:p>
    <w:p w:rsidR="0093704B" w:rsidRPr="004D1F41" w:rsidRDefault="0093704B" w:rsidP="00736D09">
      <w:pPr>
        <w:pStyle w:val="1"/>
        <w:numPr>
          <w:ilvl w:val="0"/>
          <w:numId w:val="2"/>
        </w:numPr>
        <w:suppressAutoHyphens/>
        <w:spacing w:before="108" w:after="108"/>
        <w:jc w:val="center"/>
        <w:rPr>
          <w:b/>
          <w:bCs/>
          <w:color w:val="26282F"/>
        </w:rPr>
      </w:pPr>
      <w:r w:rsidRPr="004D1F41">
        <w:rPr>
          <w:b/>
          <w:bCs/>
          <w:color w:val="26282F"/>
        </w:rPr>
        <w:t>Оценка заявок (предложений) по стоимостным критериям оценки</w:t>
      </w:r>
    </w:p>
    <w:p w:rsidR="00354B2A" w:rsidRPr="004D1F41" w:rsidRDefault="00354B2A" w:rsidP="00354B2A">
      <w:pPr>
        <w:pStyle w:val="a9"/>
        <w:numPr>
          <w:ilvl w:val="1"/>
          <w:numId w:val="2"/>
        </w:numPr>
        <w:tabs>
          <w:tab w:val="left" w:pos="142"/>
        </w:tabs>
        <w:suppressAutoHyphens/>
        <w:ind w:left="0" w:firstLine="709"/>
        <w:jc w:val="both"/>
      </w:pPr>
      <w:r w:rsidRPr="004D1F41">
        <w:t>При оценке заявок по критерию «Цена договора» лучшим условием исполнения договора по указанному критерию признается предложение участника закупки с наименьшей ценой договора.</w:t>
      </w:r>
    </w:p>
    <w:p w:rsidR="0093704B" w:rsidRPr="004D1F41" w:rsidRDefault="0093704B" w:rsidP="00736D09">
      <w:pPr>
        <w:pStyle w:val="a9"/>
        <w:numPr>
          <w:ilvl w:val="1"/>
          <w:numId w:val="2"/>
        </w:numPr>
        <w:tabs>
          <w:tab w:val="left" w:pos="142"/>
        </w:tabs>
        <w:suppressAutoHyphens/>
        <w:ind w:left="0" w:firstLine="709"/>
        <w:jc w:val="both"/>
      </w:pPr>
      <w:r w:rsidRPr="004D1F41">
        <w:t xml:space="preserve">Количество баллов, присуждаемых по </w:t>
      </w:r>
      <w:r w:rsidR="00AA0FC3" w:rsidRPr="004D1F41">
        <w:t>критериям оценки "цена договора</w:t>
      </w:r>
      <w:r w:rsidRPr="004D1F41">
        <w:t>" (</w:t>
      </w:r>
      <w:r w:rsidR="00AD1521" w:rsidRPr="004D1F41">
        <w:t>ЦБ</w:t>
      </w:r>
      <w:proofErr w:type="gramStart"/>
      <w:r w:rsidR="00AD1521" w:rsidRPr="004D1F41">
        <w:t>i</w:t>
      </w:r>
      <w:proofErr w:type="gramEnd"/>
      <w:r w:rsidRPr="004D1F41">
        <w:t>), определяется по формуле:</w:t>
      </w:r>
    </w:p>
    <w:p w:rsidR="0093704B" w:rsidRPr="004D1F41" w:rsidRDefault="0093704B" w:rsidP="0093704B">
      <w:pPr>
        <w:suppressAutoHyphens/>
        <w:ind w:firstLine="720"/>
        <w:jc w:val="both"/>
      </w:pPr>
    </w:p>
    <w:p w:rsidR="0093704B" w:rsidRPr="004D1F41" w:rsidRDefault="00736D09" w:rsidP="0093704B">
      <w:pPr>
        <w:suppressAutoHyphens/>
        <w:ind w:firstLine="698"/>
        <w:jc w:val="center"/>
      </w:pPr>
      <w:r w:rsidRPr="00432430">
        <w:rPr>
          <w:b/>
          <w:noProof/>
          <w:position w:val="-30"/>
          <w:lang w:eastAsia="ru-RU"/>
        </w:rPr>
        <w:drawing>
          <wp:inline distT="0" distB="0" distL="0" distR="0" wp14:anchorId="70D3A4E2" wp14:editId="026972E8">
            <wp:extent cx="1105786" cy="466617"/>
            <wp:effectExtent l="0" t="0" r="0" b="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7032" cy="47136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93704B" w:rsidRPr="004D1F41">
        <w:t>,</w:t>
      </w:r>
    </w:p>
    <w:p w:rsidR="0093704B" w:rsidRPr="004D1F41" w:rsidRDefault="0093704B" w:rsidP="0093704B">
      <w:pPr>
        <w:suppressAutoHyphens/>
        <w:ind w:firstLine="720"/>
        <w:jc w:val="both"/>
      </w:pPr>
    </w:p>
    <w:p w:rsidR="0093704B" w:rsidRPr="004D1F41" w:rsidRDefault="0093704B" w:rsidP="0093704B">
      <w:pPr>
        <w:suppressAutoHyphens/>
        <w:ind w:firstLine="720"/>
        <w:jc w:val="both"/>
      </w:pPr>
      <w:r w:rsidRPr="004D1F41">
        <w:t>где:</w:t>
      </w:r>
    </w:p>
    <w:p w:rsidR="0093704B" w:rsidRPr="004D1F41" w:rsidRDefault="00AD1521" w:rsidP="0093704B">
      <w:pPr>
        <w:suppressAutoHyphens/>
        <w:ind w:firstLine="720"/>
        <w:jc w:val="both"/>
      </w:pPr>
      <w:r w:rsidRPr="004D1F41">
        <w:rPr>
          <w:noProof/>
          <w:lang w:eastAsia="ru-RU"/>
        </w:rPr>
        <w:t>Ц</w:t>
      </w:r>
      <w:r w:rsidRPr="004D1F41">
        <w:rPr>
          <w:noProof/>
          <w:vertAlign w:val="subscript"/>
          <w:lang w:val="en-US" w:eastAsia="ru-RU"/>
        </w:rPr>
        <w:t>i</w:t>
      </w:r>
      <w:r w:rsidR="0093704B" w:rsidRPr="004D1F41">
        <w:t xml:space="preserve"> - предложение участника закупки, заявка (предложение) которого оценивается;</w:t>
      </w:r>
    </w:p>
    <w:p w:rsidR="0093704B" w:rsidRPr="004D1F41" w:rsidRDefault="00AD1521" w:rsidP="0093704B">
      <w:pPr>
        <w:suppressAutoHyphens/>
        <w:ind w:firstLine="720"/>
        <w:jc w:val="both"/>
      </w:pPr>
      <w:r w:rsidRPr="004D1F41">
        <w:rPr>
          <w:noProof/>
          <w:lang w:eastAsia="ru-RU"/>
        </w:rPr>
        <w:t>Ц</w:t>
      </w:r>
      <w:r w:rsidRPr="004D1F41">
        <w:rPr>
          <w:noProof/>
          <w:vertAlign w:val="subscript"/>
          <w:lang w:val="en-US" w:eastAsia="ru-RU"/>
        </w:rPr>
        <w:t>min</w:t>
      </w:r>
      <w:r w:rsidR="0093704B" w:rsidRPr="004D1F41">
        <w:t xml:space="preserve"> - минимальное предложение из предложений по критерию оценки</w:t>
      </w:r>
      <w:r w:rsidRPr="004D1F41">
        <w:t>, сделанных участниками закупки.</w:t>
      </w:r>
    </w:p>
    <w:p w:rsidR="00736D09" w:rsidRPr="004D1F41" w:rsidRDefault="00736D09" w:rsidP="00736D09">
      <w:pPr>
        <w:pStyle w:val="a9"/>
        <w:numPr>
          <w:ilvl w:val="1"/>
          <w:numId w:val="2"/>
        </w:numPr>
        <w:tabs>
          <w:tab w:val="left" w:pos="142"/>
        </w:tabs>
        <w:suppressAutoHyphens/>
        <w:ind w:left="0" w:firstLine="709"/>
        <w:jc w:val="both"/>
        <w:rPr>
          <w:sz w:val="22"/>
          <w:szCs w:val="22"/>
        </w:rPr>
      </w:pPr>
      <w:r w:rsidRPr="004D1F41">
        <w:t>Рейтинг по критерию оценки «Цена договора» (</w:t>
      </w:r>
      <w:proofErr w:type="spellStart"/>
      <w:proofErr w:type="gramStart"/>
      <w:r w:rsidRPr="004D1F41">
        <w:t>R</w:t>
      </w:r>
      <w:proofErr w:type="gramEnd"/>
      <w:r w:rsidRPr="004D1F41">
        <w:t>ЦБi</w:t>
      </w:r>
      <w:proofErr w:type="spellEnd"/>
      <w:r w:rsidRPr="004D1F41">
        <w:t>), определяется по формуле:</w:t>
      </w:r>
    </w:p>
    <w:p w:rsidR="00736D09" w:rsidRPr="004D1F41" w:rsidRDefault="00736D09" w:rsidP="00736D09">
      <w:pPr>
        <w:pStyle w:val="a9"/>
        <w:tabs>
          <w:tab w:val="left" w:pos="142"/>
        </w:tabs>
        <w:suppressAutoHyphens/>
        <w:ind w:left="709"/>
        <w:jc w:val="both"/>
        <w:rPr>
          <w:sz w:val="22"/>
          <w:szCs w:val="22"/>
        </w:rPr>
      </w:pPr>
    </w:p>
    <w:p w:rsidR="00736D09" w:rsidRPr="00432430" w:rsidRDefault="00736D09" w:rsidP="00736D09">
      <w:pPr>
        <w:suppressAutoHyphens/>
        <w:ind w:firstLine="720"/>
        <w:jc w:val="center"/>
      </w:pPr>
      <w:r w:rsidRPr="00432430">
        <w:rPr>
          <w:lang w:val="en-US"/>
        </w:rPr>
        <w:t>R</w:t>
      </w:r>
      <w:r w:rsidRPr="00432430">
        <w:rPr>
          <w:vertAlign w:val="subscript"/>
        </w:rPr>
        <w:t>ЦБ</w:t>
      </w:r>
      <w:proofErr w:type="spellStart"/>
      <w:r w:rsidRPr="00432430">
        <w:rPr>
          <w:vertAlign w:val="subscript"/>
          <w:lang w:val="en-US"/>
        </w:rPr>
        <w:t>i</w:t>
      </w:r>
      <w:proofErr w:type="spellEnd"/>
      <w:r w:rsidRPr="00432430">
        <w:t xml:space="preserve"> =ЦБ</w:t>
      </w:r>
      <w:proofErr w:type="spellStart"/>
      <w:r w:rsidRPr="00432430">
        <w:rPr>
          <w:vertAlign w:val="subscript"/>
          <w:lang w:val="en-US"/>
        </w:rPr>
        <w:t>i</w:t>
      </w:r>
      <w:proofErr w:type="spellEnd"/>
      <w:r w:rsidRPr="00432430">
        <w:t xml:space="preserve"> х KЗ</w:t>
      </w:r>
    </w:p>
    <w:p w:rsidR="0093704B" w:rsidRPr="004D1F41" w:rsidRDefault="0093704B" w:rsidP="0093704B">
      <w:pPr>
        <w:suppressAutoHyphens/>
        <w:ind w:firstLine="720"/>
        <w:jc w:val="both"/>
      </w:pPr>
    </w:p>
    <w:p w:rsidR="004B5C06" w:rsidRPr="004D1F41" w:rsidRDefault="004B5C06" w:rsidP="004B5C06">
      <w:pPr>
        <w:suppressAutoHyphens/>
        <w:ind w:firstLine="720"/>
        <w:jc w:val="both"/>
      </w:pPr>
      <w:r w:rsidRPr="004D1F41">
        <w:t>где:</w:t>
      </w:r>
    </w:p>
    <w:p w:rsidR="004B5C06" w:rsidRPr="004D1F41" w:rsidRDefault="004B5C06" w:rsidP="004B5C06">
      <w:pPr>
        <w:suppressAutoHyphens/>
        <w:ind w:firstLine="720"/>
        <w:jc w:val="both"/>
      </w:pPr>
      <w:proofErr w:type="spellStart"/>
      <w:r w:rsidRPr="004D1F41">
        <w:t>ЦБ</w:t>
      </w:r>
      <w:proofErr w:type="gramStart"/>
      <w:r w:rsidRPr="004D1F41">
        <w:t>i</w:t>
      </w:r>
      <w:proofErr w:type="spellEnd"/>
      <w:proofErr w:type="gramEnd"/>
      <w:r w:rsidRPr="004D1F41">
        <w:t xml:space="preserve"> - количество баллов, присуждаемых по критерию оценки «Цена договора»;</w:t>
      </w:r>
    </w:p>
    <w:p w:rsidR="004B5C06" w:rsidRDefault="004B5C06" w:rsidP="004B5C06">
      <w:pPr>
        <w:suppressAutoHyphens/>
        <w:ind w:firstLine="720"/>
        <w:jc w:val="both"/>
      </w:pPr>
      <w:proofErr w:type="gramStart"/>
      <w:r w:rsidRPr="004D1F41">
        <w:t>K</w:t>
      </w:r>
      <w:proofErr w:type="gramEnd"/>
      <w:r w:rsidRPr="004D1F41">
        <w:t>З</w:t>
      </w:r>
      <w:r w:rsidR="00BE0799" w:rsidRPr="004D1F41">
        <w:t xml:space="preserve"> </w:t>
      </w:r>
      <w:r w:rsidRPr="004D1F41">
        <w:t>- коэффициент значимости критерия</w:t>
      </w:r>
      <w:r w:rsidR="00A42C33" w:rsidRPr="004D1F41">
        <w:t>.</w:t>
      </w:r>
    </w:p>
    <w:p w:rsidR="00A42C33" w:rsidRDefault="00A42C33" w:rsidP="004B5C06">
      <w:pPr>
        <w:suppressAutoHyphens/>
        <w:ind w:firstLine="720"/>
        <w:jc w:val="both"/>
      </w:pPr>
    </w:p>
    <w:p w:rsidR="006C6CAB" w:rsidRDefault="006C6CAB" w:rsidP="004B5C06">
      <w:pPr>
        <w:suppressAutoHyphens/>
        <w:ind w:firstLine="720"/>
        <w:jc w:val="both"/>
      </w:pPr>
    </w:p>
    <w:p w:rsidR="006C6CAB" w:rsidRDefault="006C6CAB" w:rsidP="004B5C06">
      <w:pPr>
        <w:suppressAutoHyphens/>
        <w:ind w:firstLine="720"/>
        <w:jc w:val="both"/>
      </w:pPr>
    </w:p>
    <w:p w:rsidR="0093704B" w:rsidRPr="00770599" w:rsidRDefault="0093704B" w:rsidP="00736D09">
      <w:pPr>
        <w:pStyle w:val="1"/>
        <w:numPr>
          <w:ilvl w:val="0"/>
          <w:numId w:val="2"/>
        </w:numPr>
        <w:suppressAutoHyphens/>
        <w:spacing w:before="108" w:after="108"/>
        <w:jc w:val="center"/>
        <w:rPr>
          <w:b/>
          <w:bCs/>
          <w:color w:val="26282F"/>
        </w:rPr>
      </w:pPr>
      <w:r w:rsidRPr="0041794C">
        <w:rPr>
          <w:b/>
          <w:bCs/>
          <w:color w:val="26282F"/>
        </w:rPr>
        <w:t xml:space="preserve">Оценка заявок (предложений) по </w:t>
      </w:r>
      <w:proofErr w:type="spellStart"/>
      <w:r w:rsidRPr="0041794C">
        <w:rPr>
          <w:b/>
          <w:bCs/>
          <w:color w:val="26282F"/>
        </w:rPr>
        <w:t>нестоимостным</w:t>
      </w:r>
      <w:proofErr w:type="spellEnd"/>
      <w:r w:rsidRPr="0041794C">
        <w:rPr>
          <w:b/>
          <w:bCs/>
          <w:color w:val="26282F"/>
        </w:rPr>
        <w:t xml:space="preserve"> критериям оценки</w:t>
      </w:r>
    </w:p>
    <w:p w:rsidR="00A52EEA" w:rsidRPr="00770599" w:rsidRDefault="00A52EEA" w:rsidP="00A52EEA"/>
    <w:p w:rsidR="0093704B" w:rsidRPr="004D1F41" w:rsidRDefault="00BD7038" w:rsidP="008848B9">
      <w:pPr>
        <w:pStyle w:val="a9"/>
        <w:numPr>
          <w:ilvl w:val="1"/>
          <w:numId w:val="2"/>
        </w:numPr>
        <w:suppressAutoHyphens/>
        <w:ind w:left="0" w:firstLine="709"/>
        <w:jc w:val="both"/>
      </w:pPr>
      <w:r>
        <w:t xml:space="preserve">К показателям </w:t>
      </w:r>
      <w:proofErr w:type="spellStart"/>
      <w:r>
        <w:t>нестоимостного</w:t>
      </w:r>
      <w:proofErr w:type="spellEnd"/>
      <w:r>
        <w:t xml:space="preserve"> критерия оценки </w:t>
      </w:r>
      <w:r w:rsidR="00A52EEA" w:rsidRPr="004D1F41">
        <w:t>относятся</w:t>
      </w:r>
      <w:r w:rsidR="00E2107F" w:rsidRPr="004D1F41">
        <w:t>:</w:t>
      </w:r>
    </w:p>
    <w:p w:rsidR="00E2107F" w:rsidRPr="004D1F41" w:rsidRDefault="00E2107F" w:rsidP="008848B9">
      <w:pPr>
        <w:pStyle w:val="a9"/>
        <w:suppressAutoHyphens/>
        <w:ind w:left="851"/>
        <w:jc w:val="both"/>
      </w:pPr>
      <w:r w:rsidRPr="004D1F41">
        <w:t>- срок (периоды) поставки товара, выполнения работ, оказания услуг;</w:t>
      </w:r>
    </w:p>
    <w:p w:rsidR="00E2107F" w:rsidRPr="004D1F41" w:rsidRDefault="00181815" w:rsidP="008848B9">
      <w:pPr>
        <w:suppressAutoHyphens/>
        <w:ind w:left="851"/>
        <w:jc w:val="both"/>
      </w:pPr>
      <w:r w:rsidRPr="004D1F41">
        <w:t xml:space="preserve">- </w:t>
      </w:r>
      <w:r w:rsidR="009F3D15" w:rsidRPr="004D1F41">
        <w:t>функциональные характеристики (потребительские свойства) и (или) качественные характеристики товара, или качество работ, услуг;</w:t>
      </w:r>
    </w:p>
    <w:p w:rsidR="00756471" w:rsidRPr="004D1F41" w:rsidRDefault="00756471" w:rsidP="008848B9">
      <w:pPr>
        <w:suppressAutoHyphens/>
        <w:ind w:left="851"/>
        <w:jc w:val="both"/>
      </w:pPr>
      <w:r w:rsidRPr="004D1F41">
        <w:t>- квалиф</w:t>
      </w:r>
      <w:r w:rsidR="00B11721" w:rsidRPr="004D1F41">
        <w:t>икация трудовых ресурсов</w:t>
      </w:r>
      <w:r w:rsidRPr="004D1F41">
        <w:t>, предлагаемых для выполнения работ, оказания услуг;</w:t>
      </w:r>
    </w:p>
    <w:p w:rsidR="00C3317D" w:rsidRPr="004D1F41" w:rsidRDefault="00C3317D" w:rsidP="008848B9">
      <w:pPr>
        <w:suppressAutoHyphens/>
        <w:ind w:left="851"/>
        <w:jc w:val="both"/>
      </w:pPr>
      <w:r w:rsidRPr="004D1F41">
        <w:t>- опыт участника по успешной поставке товара, выполнению работ, оказанию услуг сопоставимого характера и объема;</w:t>
      </w:r>
    </w:p>
    <w:p w:rsidR="00393F8B" w:rsidRPr="004D1F41" w:rsidRDefault="00393F8B" w:rsidP="008848B9">
      <w:pPr>
        <w:suppressAutoHyphens/>
        <w:ind w:left="851"/>
        <w:jc w:val="both"/>
      </w:pPr>
      <w:r w:rsidRPr="004D1F41">
        <w:t>- обеспеченность участника закупки материально-техническими ресурсами в части наличия у участника закупки собственных или арендованных производственных мощностей, технологического оборудования, необходимых для выполнения работ, оказания услуг;</w:t>
      </w:r>
    </w:p>
    <w:p w:rsidR="00393F8B" w:rsidRPr="004D1F41" w:rsidRDefault="00393F8B" w:rsidP="008848B9">
      <w:pPr>
        <w:suppressAutoHyphens/>
        <w:ind w:left="851"/>
        <w:jc w:val="both"/>
      </w:pPr>
      <w:r w:rsidRPr="004D1F41">
        <w:t>- обеспеченность участника закупки трудовыми ресурсами;</w:t>
      </w:r>
    </w:p>
    <w:p w:rsidR="00CA0B20" w:rsidRPr="004D1F41" w:rsidRDefault="0058658F" w:rsidP="008848B9">
      <w:pPr>
        <w:suppressAutoHyphens/>
        <w:ind w:left="851"/>
        <w:jc w:val="both"/>
      </w:pPr>
      <w:r w:rsidRPr="004D1F41">
        <w:t>- финансовое состояние (устойчивость) участника закупки;</w:t>
      </w:r>
    </w:p>
    <w:p w:rsidR="00CA0B20" w:rsidRPr="004D1F41" w:rsidRDefault="00CA0B20" w:rsidP="008848B9">
      <w:pPr>
        <w:suppressAutoHyphens/>
        <w:ind w:left="851"/>
        <w:jc w:val="both"/>
      </w:pPr>
      <w:r w:rsidRPr="004D1F41">
        <w:t>- деловая репутация участника закупки;</w:t>
      </w:r>
    </w:p>
    <w:p w:rsidR="00A03D52" w:rsidRPr="004D1F41" w:rsidRDefault="00A03D52" w:rsidP="008848B9">
      <w:pPr>
        <w:suppressAutoHyphens/>
        <w:ind w:left="851"/>
        <w:jc w:val="both"/>
      </w:pPr>
      <w:r w:rsidRPr="004D1F41">
        <w:t>- срок и объем представляемых гарантий качества товара, работ, услуг;</w:t>
      </w:r>
    </w:p>
    <w:p w:rsidR="008848B9" w:rsidRPr="004D1F41" w:rsidRDefault="008848B9" w:rsidP="008848B9">
      <w:pPr>
        <w:pStyle w:val="a9"/>
        <w:suppressAutoHyphens/>
        <w:ind w:left="851"/>
        <w:jc w:val="both"/>
      </w:pPr>
      <w:r w:rsidRPr="004D1F41">
        <w:t>- условия оплаты.</w:t>
      </w:r>
    </w:p>
    <w:p w:rsidR="005D2019" w:rsidRPr="004D1F41" w:rsidRDefault="005D2019" w:rsidP="008848B9">
      <w:pPr>
        <w:pStyle w:val="a9"/>
        <w:suppressAutoHyphens/>
        <w:ind w:left="851"/>
        <w:jc w:val="both"/>
      </w:pPr>
    </w:p>
    <w:p w:rsidR="00FB701B" w:rsidRPr="004D1F41" w:rsidRDefault="00FB701B" w:rsidP="00FB701B">
      <w:pPr>
        <w:pStyle w:val="a9"/>
        <w:numPr>
          <w:ilvl w:val="1"/>
          <w:numId w:val="2"/>
        </w:numPr>
        <w:suppressAutoHyphens/>
        <w:ind w:left="0" w:firstLine="709"/>
        <w:jc w:val="both"/>
      </w:pPr>
      <w:r w:rsidRPr="004D1F41">
        <w:t>Для использования в целях оценки заявок (предложений) шкалы оценки Заказчик в документации о закупке должен установить количество баллов, присуждаемое за определенное значение критерия оценки (показателя), предложенное участником закупки.</w:t>
      </w:r>
    </w:p>
    <w:p w:rsidR="001B4E5D" w:rsidRPr="004D1F41" w:rsidRDefault="001B4E5D" w:rsidP="00FB701B">
      <w:pPr>
        <w:pStyle w:val="a9"/>
        <w:numPr>
          <w:ilvl w:val="1"/>
          <w:numId w:val="2"/>
        </w:numPr>
        <w:suppressAutoHyphens/>
        <w:ind w:left="0" w:firstLine="709"/>
        <w:jc w:val="both"/>
      </w:pPr>
      <w:r w:rsidRPr="004D1F41">
        <w:t xml:space="preserve">Количество баллов, присуждаемых участнику по </w:t>
      </w:r>
      <w:r w:rsidR="00B3793E">
        <w:t xml:space="preserve">показателю </w:t>
      </w:r>
      <w:proofErr w:type="spellStart"/>
      <w:r w:rsidR="00B3793E">
        <w:t>нестоимостного</w:t>
      </w:r>
      <w:proofErr w:type="spellEnd"/>
      <w:r w:rsidR="00B3793E">
        <w:t xml:space="preserve"> критерия</w:t>
      </w:r>
      <w:r w:rsidRPr="004D1F41">
        <w:t xml:space="preserve"> оценки, (</w:t>
      </w:r>
      <w:proofErr w:type="spellStart"/>
      <w:r w:rsidRPr="004D1F41">
        <w:t>НЦБ</w:t>
      </w:r>
      <w:proofErr w:type="gramStart"/>
      <w:r w:rsidRPr="004D1F41">
        <w:t>i</w:t>
      </w:r>
      <w:proofErr w:type="spellEnd"/>
      <w:proofErr w:type="gramEnd"/>
      <w:r w:rsidRPr="004D1F41">
        <w:t>) определяется по формуле:</w:t>
      </w:r>
    </w:p>
    <w:p w:rsidR="007367EA" w:rsidRPr="004D1F41" w:rsidRDefault="007367EA" w:rsidP="007367EA">
      <w:pPr>
        <w:pStyle w:val="a9"/>
        <w:suppressAutoHyphens/>
        <w:ind w:left="709"/>
        <w:jc w:val="both"/>
      </w:pPr>
    </w:p>
    <w:p w:rsidR="007367EA" w:rsidRPr="004D1F41" w:rsidRDefault="00867052" w:rsidP="007367EA">
      <w:pPr>
        <w:pStyle w:val="a9"/>
        <w:suppressAutoHyphens/>
        <w:ind w:left="709"/>
        <w:jc w:val="center"/>
        <w:rPr>
          <w:rFonts w:eastAsiaTheme="minorEastAsia"/>
          <w:sz w:val="28"/>
          <w:szCs w:val="28"/>
        </w:rPr>
      </w:pP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НЦБ</m:t>
            </m:r>
          </m:e>
          <m:sub>
            <m:r>
              <w:rPr>
                <w:rFonts w:ascii="Cambria Math" w:hAnsi="Cambria Math"/>
                <w:lang w:val="en-US"/>
              </w:rPr>
              <m:t>i</m:t>
            </m:r>
          </m:sub>
        </m:sSub>
        <m:r>
          <w:rPr>
            <w:rFonts w:ascii="Cambria Math" w:hAnsi="Cambria Math"/>
          </w:rPr>
          <m:t xml:space="preserve">= </m:t>
        </m:r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Б</m:t>
            </m:r>
          </m:e>
          <m:sub>
            <m:r>
              <w:rPr>
                <w:rFonts w:ascii="Cambria Math" w:hAnsi="Cambria Math"/>
                <w:lang w:val="en-US"/>
              </w:rPr>
              <m:t>i</m:t>
            </m:r>
            <m:r>
              <w:rPr>
                <w:rFonts w:ascii="Cambria Math" w:hAnsi="Cambria Math"/>
              </w:rPr>
              <m:t xml:space="preserve"> </m:t>
            </m:r>
          </m:sub>
        </m:sSub>
      </m:oMath>
      <w:r w:rsidR="007367EA" w:rsidRPr="004D1F41">
        <w:rPr>
          <w:rFonts w:eastAsiaTheme="minorEastAsia"/>
          <w:sz w:val="28"/>
          <w:szCs w:val="28"/>
        </w:rPr>
        <w:t>,</w:t>
      </w:r>
    </w:p>
    <w:p w:rsidR="007367EA" w:rsidRPr="004D1F41" w:rsidRDefault="007367EA" w:rsidP="007367EA">
      <w:pPr>
        <w:pStyle w:val="a9"/>
        <w:suppressAutoHyphens/>
        <w:ind w:left="709"/>
        <w:jc w:val="center"/>
      </w:pPr>
    </w:p>
    <w:p w:rsidR="006B2F0A" w:rsidRPr="004D1F41" w:rsidRDefault="006B2F0A" w:rsidP="006B2F0A">
      <w:pPr>
        <w:suppressAutoHyphens/>
        <w:ind w:firstLine="720"/>
        <w:jc w:val="both"/>
        <w:rPr>
          <w:noProof/>
          <w:lang w:eastAsia="ru-RU"/>
        </w:rPr>
      </w:pPr>
      <w:r w:rsidRPr="004D1F41">
        <w:rPr>
          <w:noProof/>
          <w:lang w:eastAsia="ru-RU"/>
        </w:rPr>
        <w:t>где:</w:t>
      </w:r>
    </w:p>
    <w:p w:rsidR="006B2F0A" w:rsidRDefault="004A7387" w:rsidP="006B2F0A">
      <w:pPr>
        <w:suppressAutoHyphens/>
        <w:ind w:firstLine="720"/>
        <w:jc w:val="both"/>
        <w:rPr>
          <w:noProof/>
          <w:lang w:eastAsia="ru-RU"/>
        </w:rPr>
      </w:pPr>
      <w:r w:rsidRPr="004D1F41">
        <w:rPr>
          <w:noProof/>
          <w:lang w:eastAsia="ru-RU"/>
        </w:rPr>
        <w:t>Б</w:t>
      </w:r>
      <w:r w:rsidRPr="004D1F41">
        <w:rPr>
          <w:noProof/>
          <w:lang w:val="en-US" w:eastAsia="ru-RU"/>
        </w:rPr>
        <w:t>i</w:t>
      </w:r>
      <w:r w:rsidR="006B2F0A" w:rsidRPr="004D1F41">
        <w:rPr>
          <w:noProof/>
          <w:lang w:eastAsia="ru-RU"/>
        </w:rPr>
        <w:t>- количество баллов в соответствии со шкалой оценки</w:t>
      </w:r>
      <w:r w:rsidR="00C72CC7">
        <w:rPr>
          <w:noProof/>
          <w:lang w:eastAsia="ru-RU"/>
        </w:rPr>
        <w:t>.</w:t>
      </w:r>
    </w:p>
    <w:p w:rsidR="006B2F0A" w:rsidRPr="004D1F41" w:rsidRDefault="006B2F0A" w:rsidP="006B2F0A">
      <w:pPr>
        <w:pStyle w:val="a9"/>
        <w:suppressAutoHyphens/>
        <w:ind w:left="0"/>
        <w:jc w:val="center"/>
      </w:pPr>
    </w:p>
    <w:p w:rsidR="0093704B" w:rsidRPr="004D1F41" w:rsidRDefault="002A083B" w:rsidP="006B699F">
      <w:pPr>
        <w:pStyle w:val="a9"/>
        <w:numPr>
          <w:ilvl w:val="1"/>
          <w:numId w:val="2"/>
        </w:numPr>
        <w:suppressAutoHyphens/>
        <w:ind w:left="0" w:firstLine="709"/>
        <w:jc w:val="both"/>
      </w:pPr>
      <w:r w:rsidRPr="004D1F41">
        <w:t>В случае если для З</w:t>
      </w:r>
      <w:r w:rsidR="0093704B" w:rsidRPr="004D1F41">
        <w:t>аказчика луч</w:t>
      </w:r>
      <w:r w:rsidRPr="004D1F41">
        <w:t>шим условием исполнения дого</w:t>
      </w:r>
      <w:r w:rsidR="00DD275D" w:rsidRPr="004D1F41">
        <w:t>в</w:t>
      </w:r>
      <w:r w:rsidRPr="004D1F41">
        <w:t>о</w:t>
      </w:r>
      <w:r w:rsidR="00DD275D" w:rsidRPr="004D1F41">
        <w:t>р</w:t>
      </w:r>
      <w:r w:rsidR="00E8234B">
        <w:t>а по показателю оценки</w:t>
      </w:r>
      <w:r w:rsidR="0093704B" w:rsidRPr="004D1F41">
        <w:t xml:space="preserve"> является наименьшее значение критерия оценки (показателя), </w:t>
      </w:r>
      <w:r w:rsidR="006B2F0A" w:rsidRPr="004D1F41">
        <w:t>для определения количества</w:t>
      </w:r>
      <w:r w:rsidR="0093704B" w:rsidRPr="004D1F41">
        <w:t xml:space="preserve"> баллов, п</w:t>
      </w:r>
      <w:r w:rsidR="00E8234B">
        <w:t>рисуждаемых по показателю</w:t>
      </w:r>
      <w:r w:rsidR="0093704B" w:rsidRPr="004D1F41">
        <w:t xml:space="preserve"> </w:t>
      </w:r>
      <w:proofErr w:type="spellStart"/>
      <w:r w:rsidR="00E8234B">
        <w:t>нестоимостного</w:t>
      </w:r>
      <w:proofErr w:type="spellEnd"/>
      <w:r w:rsidR="00E8234B">
        <w:t xml:space="preserve"> критерия оценки </w:t>
      </w:r>
      <w:r w:rsidR="0093704B" w:rsidRPr="004D1F41">
        <w:t>(</w:t>
      </w:r>
      <w:r w:rsidR="00AA00B5" w:rsidRPr="004D1F41">
        <w:rPr>
          <w:noProof/>
          <w:lang w:eastAsia="ru-RU"/>
        </w:rPr>
        <w:t>НЦБ</w:t>
      </w:r>
      <w:r w:rsidR="00AA00B5" w:rsidRPr="004D1F41">
        <w:rPr>
          <w:noProof/>
          <w:vertAlign w:val="subscript"/>
          <w:lang w:val="en-US" w:eastAsia="ru-RU"/>
        </w:rPr>
        <w:t>i</w:t>
      </w:r>
      <w:r w:rsidR="006B2F0A" w:rsidRPr="004D1F41">
        <w:t>), может быть использована следующая формула</w:t>
      </w:r>
      <w:r w:rsidR="0093704B" w:rsidRPr="004D1F41">
        <w:t>:</w:t>
      </w:r>
    </w:p>
    <w:p w:rsidR="0093704B" w:rsidRPr="00432430" w:rsidRDefault="0093704B" w:rsidP="0093704B">
      <w:pPr>
        <w:suppressAutoHyphens/>
        <w:ind w:firstLine="720"/>
        <w:jc w:val="both"/>
      </w:pPr>
    </w:p>
    <w:p w:rsidR="00C728BB" w:rsidRPr="004D1F41" w:rsidRDefault="00867052" w:rsidP="0093704B">
      <w:pPr>
        <w:suppressAutoHyphens/>
        <w:ind w:firstLine="698"/>
        <w:jc w:val="center"/>
        <w:rPr>
          <w:sz w:val="28"/>
          <w:szCs w:val="28"/>
        </w:rPr>
      </w:pP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НЦБ</m:t>
            </m:r>
          </m:e>
          <m:sub>
            <m:r>
              <w:rPr>
                <w:rFonts w:ascii="Cambria Math" w:hAnsi="Cambria Math"/>
                <w:lang w:val="en-US"/>
              </w:rPr>
              <m:t>i</m:t>
            </m:r>
          </m:sub>
        </m:sSub>
        <m:r>
          <w:rPr>
            <w:rFonts w:ascii="Cambria Math" w:hAnsi="Cambria Math"/>
          </w:rPr>
          <m:t>=</m:t>
        </m:r>
        <m:r>
          <w:rPr>
            <w:rFonts w:ascii="Cambria Math" w:eastAsiaTheme="minorEastAsia" w:hAnsi="Cambria Math"/>
          </w:rPr>
          <m:t xml:space="preserve"> </m:t>
        </m:r>
        <m:f>
          <m:fPr>
            <m:ctrlPr>
              <w:rPr>
                <w:rFonts w:ascii="Cambria Math" w:eastAsiaTheme="minorEastAsia" w:hAnsi="Cambria Math"/>
                <w:i/>
              </w:rPr>
            </m:ctrlPr>
          </m:fPr>
          <m:num>
            <m:sSub>
              <m:sSubPr>
                <m:ctrlPr>
                  <w:rPr>
                    <w:rFonts w:ascii="Cambria Math" w:eastAsiaTheme="minorEastAsia" w:hAnsi="Cambria Math"/>
                    <w:i/>
                  </w:rPr>
                </m:ctrlPr>
              </m:sSubPr>
              <m:e>
                <m:r>
                  <w:rPr>
                    <w:rFonts w:ascii="Cambria Math" w:eastAsiaTheme="minorEastAsia" w:hAnsi="Cambria Math"/>
                  </w:rPr>
                  <m:t>К</m:t>
                </m:r>
              </m:e>
              <m:sub>
                <m:r>
                  <w:rPr>
                    <w:rFonts w:ascii="Cambria Math" w:eastAsiaTheme="minorEastAsia" w:hAnsi="Cambria Math"/>
                    <w:lang w:val="en-US"/>
                  </w:rPr>
                  <m:t>min</m:t>
                </m:r>
              </m:sub>
            </m:sSub>
          </m:num>
          <m:den>
            <m:sSub>
              <m:sSubPr>
                <m:ctrlPr>
                  <w:rPr>
                    <w:rFonts w:ascii="Cambria Math" w:eastAsiaTheme="minorEastAsia" w:hAnsi="Cambria Math"/>
                    <w:i/>
                  </w:rPr>
                </m:ctrlPr>
              </m:sSubPr>
              <m:e>
                <m:r>
                  <w:rPr>
                    <w:rFonts w:ascii="Cambria Math" w:eastAsiaTheme="minorEastAsia" w:hAnsi="Cambria Math"/>
                  </w:rPr>
                  <m:t>К</m:t>
                </m:r>
              </m:e>
              <m:sub>
                <m:r>
                  <w:rPr>
                    <w:rFonts w:ascii="Cambria Math" w:eastAsiaTheme="minorEastAsia" w:hAnsi="Cambria Math"/>
                    <w:lang w:val="en-US"/>
                  </w:rPr>
                  <m:t>i</m:t>
                </m:r>
              </m:sub>
            </m:sSub>
          </m:den>
        </m:f>
        <m:r>
          <w:rPr>
            <w:rFonts w:ascii="Cambria Math" w:eastAsiaTheme="minorEastAsia" w:hAnsi="Cambria Math"/>
          </w:rPr>
          <m:t xml:space="preserve"> ×100</m:t>
        </m:r>
      </m:oMath>
      <w:r w:rsidR="00275F23" w:rsidRPr="004D1F41">
        <w:rPr>
          <w:rFonts w:eastAsiaTheme="minorEastAsia"/>
        </w:rPr>
        <w:t>,</w:t>
      </w:r>
    </w:p>
    <w:p w:rsidR="0093704B" w:rsidRPr="004D1F41" w:rsidRDefault="0093704B" w:rsidP="0093704B">
      <w:pPr>
        <w:suppressAutoHyphens/>
        <w:ind w:firstLine="720"/>
        <w:jc w:val="both"/>
      </w:pPr>
    </w:p>
    <w:p w:rsidR="0093704B" w:rsidRPr="004D1F41" w:rsidRDefault="0093704B" w:rsidP="0093704B">
      <w:pPr>
        <w:suppressAutoHyphens/>
        <w:ind w:firstLine="720"/>
        <w:jc w:val="both"/>
      </w:pPr>
      <w:r w:rsidRPr="004D1F41">
        <w:t>где:</w:t>
      </w:r>
    </w:p>
    <w:p w:rsidR="0093704B" w:rsidRPr="004D1F41" w:rsidRDefault="00823F43" w:rsidP="0093704B">
      <w:pPr>
        <w:suppressAutoHyphens/>
        <w:ind w:firstLine="720"/>
        <w:jc w:val="both"/>
      </w:pPr>
      <w:r w:rsidRPr="004D1F41">
        <w:rPr>
          <w:noProof/>
          <w:lang w:eastAsia="ru-RU"/>
        </w:rPr>
        <w:t>К</w:t>
      </w:r>
      <w:r w:rsidRPr="004D1F41">
        <w:rPr>
          <w:noProof/>
          <w:vertAlign w:val="subscript"/>
          <w:lang w:val="en-US" w:eastAsia="ru-RU"/>
        </w:rPr>
        <w:t>min</w:t>
      </w:r>
      <w:r w:rsidR="0093704B" w:rsidRPr="004D1F41">
        <w:t xml:space="preserve"> - минимальное предло</w:t>
      </w:r>
      <w:r w:rsidR="00E8234B">
        <w:t>жение из предложений по показателю</w:t>
      </w:r>
      <w:r w:rsidR="0093704B" w:rsidRPr="004D1F41">
        <w:t xml:space="preserve"> </w:t>
      </w:r>
      <w:proofErr w:type="spellStart"/>
      <w:r w:rsidR="00FF3920">
        <w:t>нестоимостного</w:t>
      </w:r>
      <w:proofErr w:type="spellEnd"/>
      <w:r w:rsidR="00FF3920">
        <w:t xml:space="preserve"> критерия </w:t>
      </w:r>
      <w:r w:rsidR="0093704B" w:rsidRPr="004D1F41">
        <w:t>оценки, сделанных участниками закупки;</w:t>
      </w:r>
    </w:p>
    <w:p w:rsidR="0093704B" w:rsidRPr="004D1F41" w:rsidRDefault="00823F43" w:rsidP="0093704B">
      <w:pPr>
        <w:suppressAutoHyphens/>
        <w:ind w:firstLine="720"/>
        <w:jc w:val="both"/>
      </w:pPr>
      <w:r w:rsidRPr="004D1F41">
        <w:rPr>
          <w:noProof/>
          <w:lang w:eastAsia="ru-RU"/>
        </w:rPr>
        <w:t>К</w:t>
      </w:r>
      <w:r w:rsidRPr="004D1F41">
        <w:rPr>
          <w:noProof/>
          <w:vertAlign w:val="subscript"/>
          <w:lang w:val="en-US" w:eastAsia="ru-RU"/>
        </w:rPr>
        <w:t>i</w:t>
      </w:r>
      <w:r w:rsidR="0093704B" w:rsidRPr="004D1F41">
        <w:t xml:space="preserve"> - предложение участника закупки, заявка (пр</w:t>
      </w:r>
      <w:r w:rsidR="00BA09DD" w:rsidRPr="004D1F41">
        <w:t>едложение) которого оценивается</w:t>
      </w:r>
      <w:r w:rsidR="004A4F94" w:rsidRPr="004D1F41">
        <w:t>.</w:t>
      </w:r>
    </w:p>
    <w:p w:rsidR="00BA09DD" w:rsidRPr="004D1F41" w:rsidRDefault="00BA09DD" w:rsidP="0093704B">
      <w:pPr>
        <w:suppressAutoHyphens/>
        <w:ind w:firstLine="720"/>
        <w:jc w:val="both"/>
      </w:pPr>
    </w:p>
    <w:p w:rsidR="0093704B" w:rsidRPr="004D1F41" w:rsidRDefault="0093704B" w:rsidP="005203EB">
      <w:pPr>
        <w:pStyle w:val="a9"/>
        <w:numPr>
          <w:ilvl w:val="1"/>
          <w:numId w:val="2"/>
        </w:numPr>
        <w:suppressAutoHyphens/>
        <w:ind w:left="0" w:firstLine="709"/>
        <w:jc w:val="both"/>
      </w:pPr>
      <w:r w:rsidRPr="004D1F41">
        <w:t>В случае если</w:t>
      </w:r>
      <w:r w:rsidR="00701409" w:rsidRPr="004D1F41">
        <w:t xml:space="preserve"> для З</w:t>
      </w:r>
      <w:r w:rsidRPr="004D1F41">
        <w:t>аказчика луч</w:t>
      </w:r>
      <w:r w:rsidR="00701409" w:rsidRPr="004D1F41">
        <w:t>шим условием исполнения договор</w:t>
      </w:r>
      <w:r w:rsidRPr="004D1F41">
        <w:t>а</w:t>
      </w:r>
      <w:r w:rsidR="00E8234B">
        <w:t xml:space="preserve"> по показателю оценки</w:t>
      </w:r>
      <w:r w:rsidRPr="004D1F41">
        <w:t xml:space="preserve"> является наибо</w:t>
      </w:r>
      <w:r w:rsidR="00E8234B">
        <w:t>льшее значение показателя</w:t>
      </w:r>
      <w:r w:rsidRPr="004D1F41">
        <w:t>,</w:t>
      </w:r>
      <w:r w:rsidR="0037782B" w:rsidRPr="004D1F41">
        <w:t xml:space="preserve"> то для определения</w:t>
      </w:r>
      <w:r w:rsidRPr="004D1F41">
        <w:t xml:space="preserve"> </w:t>
      </w:r>
      <w:r w:rsidR="0037782B" w:rsidRPr="004D1F41">
        <w:t>количества</w:t>
      </w:r>
      <w:r w:rsidRPr="004D1F41">
        <w:t xml:space="preserve"> баллов, п</w:t>
      </w:r>
      <w:r w:rsidR="00E8234B">
        <w:t>рисуждаемых по показателю</w:t>
      </w:r>
      <w:r w:rsidR="00522AE2">
        <w:t xml:space="preserve"> </w:t>
      </w:r>
      <w:proofErr w:type="spellStart"/>
      <w:r w:rsidR="00522AE2">
        <w:t>нестоимостного</w:t>
      </w:r>
      <w:proofErr w:type="spellEnd"/>
      <w:r w:rsidR="00522AE2">
        <w:t xml:space="preserve"> критерия оценки</w:t>
      </w:r>
      <w:r w:rsidRPr="004D1F41">
        <w:t xml:space="preserve"> (</w:t>
      </w:r>
      <w:proofErr w:type="spellStart"/>
      <w:r w:rsidR="004A03DB" w:rsidRPr="004D1F41">
        <w:t>НЦБ</w:t>
      </w:r>
      <w:proofErr w:type="gramStart"/>
      <w:r w:rsidR="004A03DB" w:rsidRPr="004D1F41">
        <w:t>i</w:t>
      </w:r>
      <w:proofErr w:type="spellEnd"/>
      <w:proofErr w:type="gramEnd"/>
      <w:r w:rsidR="0037782B" w:rsidRPr="004D1F41">
        <w:t>), может быть использована следующая формула</w:t>
      </w:r>
      <w:r w:rsidRPr="004D1F41">
        <w:t>:</w:t>
      </w:r>
    </w:p>
    <w:p w:rsidR="0093704B" w:rsidRPr="004D1F41" w:rsidRDefault="0093704B" w:rsidP="0093704B">
      <w:pPr>
        <w:suppressAutoHyphens/>
        <w:ind w:firstLine="720"/>
        <w:jc w:val="both"/>
      </w:pPr>
    </w:p>
    <w:p w:rsidR="0093704B" w:rsidRPr="004D1F41" w:rsidRDefault="00867052" w:rsidP="0093704B">
      <w:pPr>
        <w:suppressAutoHyphens/>
        <w:ind w:firstLine="698"/>
        <w:jc w:val="center"/>
        <w:rPr>
          <w:rFonts w:ascii="Cambria Math" w:hAnsi="Cambria Math"/>
          <w:i/>
          <w:sz w:val="28"/>
          <w:szCs w:val="28"/>
        </w:rPr>
      </w:pPr>
      <m:oMath>
        <m:sSub>
          <m:sSubPr>
            <m:ctrlPr>
              <w:rPr>
                <w:rFonts w:ascii="Cambria Math" w:hAnsi="Cambria Math"/>
                <w:i/>
                <w:szCs w:val="28"/>
              </w:rPr>
            </m:ctrlPr>
          </m:sSubPr>
          <m:e>
            <m:sSub>
              <m:sSubPr>
                <m:ctrlPr>
                  <w:rPr>
                    <w:rFonts w:ascii="Cambria Math" w:hAnsi="Cambria Math"/>
                    <w:i/>
                    <w:szCs w:val="28"/>
                  </w:rPr>
                </m:ctrlPr>
              </m:sSubPr>
              <m:e>
                <m:r>
                  <w:rPr>
                    <w:rFonts w:ascii="Cambria Math" w:hAnsi="Cambria Math"/>
                    <w:szCs w:val="28"/>
                  </w:rPr>
                  <m:t>НЦБ</m:t>
                </m:r>
              </m:e>
              <m:sub>
                <m:r>
                  <w:rPr>
                    <w:rFonts w:ascii="Cambria Math" w:hAnsi="Cambria Math"/>
                    <w:szCs w:val="28"/>
                  </w:rPr>
                  <m:t>i</m:t>
                </m:r>
              </m:sub>
            </m:sSub>
            <m:r>
              <w:rPr>
                <w:rFonts w:ascii="Cambria Math" w:hAnsi="Cambria Math"/>
                <w:szCs w:val="28"/>
              </w:rPr>
              <m:t xml:space="preserve">= </m:t>
            </m:r>
            <m:f>
              <m:fPr>
                <m:ctrlPr>
                  <w:rPr>
                    <w:rFonts w:ascii="Cambria Math" w:hAnsi="Cambria Math"/>
                    <w:i/>
                    <w:szCs w:val="28"/>
                  </w:rPr>
                </m:ctrlPr>
              </m:fPr>
              <m:num>
                <m:sSub>
                  <m:sSubPr>
                    <m:ctrlPr>
                      <w:rPr>
                        <w:rFonts w:ascii="Cambria Math" w:hAnsi="Cambria Math"/>
                        <w:i/>
                        <w:szCs w:val="28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Cs w:val="28"/>
                      </w:rPr>
                      <m:t>К</m:t>
                    </m:r>
                  </m:e>
                  <m:sub>
                    <m:r>
                      <w:rPr>
                        <w:rFonts w:ascii="Cambria Math" w:hAnsi="Cambria Math"/>
                        <w:szCs w:val="28"/>
                      </w:rPr>
                      <m:t>i</m:t>
                    </m:r>
                  </m:sub>
                </m:sSub>
              </m:num>
              <m:den>
                <m:sSub>
                  <m:sSubPr>
                    <m:ctrlPr>
                      <w:rPr>
                        <w:rFonts w:ascii="Cambria Math" w:hAnsi="Cambria Math"/>
                        <w:i/>
                        <w:szCs w:val="28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Cs w:val="28"/>
                      </w:rPr>
                      <m:t>К</m:t>
                    </m:r>
                  </m:e>
                  <m:sub>
                    <m:argPr>
                      <m:argSz m:val="1"/>
                    </m:argPr>
                    <m:r>
                      <w:rPr>
                        <w:rFonts w:ascii="Cambria Math" w:hAnsi="Cambria Math"/>
                        <w:szCs w:val="28"/>
                      </w:rPr>
                      <m:t>max</m:t>
                    </m:r>
                  </m:sub>
                </m:sSub>
              </m:den>
            </m:f>
            <m:r>
              <w:rPr>
                <w:rFonts w:ascii="Cambria Math" w:hAnsi="Cambria Math"/>
                <w:szCs w:val="28"/>
              </w:rPr>
              <m:t xml:space="preserve"> ×100</m:t>
            </m:r>
          </m:e>
          <m:sub/>
        </m:sSub>
      </m:oMath>
      <w:r w:rsidR="0093704B" w:rsidRPr="004D1F41">
        <w:rPr>
          <w:rFonts w:ascii="Cambria Math" w:hAnsi="Cambria Math"/>
          <w:i/>
          <w:sz w:val="28"/>
          <w:szCs w:val="28"/>
        </w:rPr>
        <w:t>,</w:t>
      </w:r>
    </w:p>
    <w:p w:rsidR="0093704B" w:rsidRPr="004D1F41" w:rsidRDefault="0093704B" w:rsidP="0093704B">
      <w:pPr>
        <w:suppressAutoHyphens/>
        <w:ind w:firstLine="720"/>
        <w:jc w:val="both"/>
      </w:pPr>
    </w:p>
    <w:p w:rsidR="0093704B" w:rsidRPr="004D1F41" w:rsidRDefault="0093704B" w:rsidP="0093704B">
      <w:pPr>
        <w:suppressAutoHyphens/>
        <w:ind w:firstLine="720"/>
        <w:jc w:val="both"/>
      </w:pPr>
      <w:r w:rsidRPr="004D1F41">
        <w:t>где:</w:t>
      </w:r>
    </w:p>
    <w:p w:rsidR="0093704B" w:rsidRPr="004D1F41" w:rsidRDefault="004A03DB" w:rsidP="0093704B">
      <w:pPr>
        <w:suppressAutoHyphens/>
        <w:ind w:firstLine="720"/>
        <w:jc w:val="both"/>
      </w:pPr>
      <w:r w:rsidRPr="004D1F41">
        <w:rPr>
          <w:noProof/>
          <w:lang w:val="en-US" w:eastAsia="ru-RU"/>
        </w:rPr>
        <w:t>K</w:t>
      </w:r>
      <w:r w:rsidRPr="004D1F41">
        <w:rPr>
          <w:noProof/>
          <w:vertAlign w:val="subscript"/>
          <w:lang w:val="en-US" w:eastAsia="ru-RU"/>
        </w:rPr>
        <w:t>i</w:t>
      </w:r>
      <w:r w:rsidR="0093704B" w:rsidRPr="004D1F41">
        <w:t xml:space="preserve"> - предложение участника закупки, заявка (предложение) которого оценивается;</w:t>
      </w:r>
    </w:p>
    <w:p w:rsidR="00BA09DD" w:rsidRDefault="004A03DB" w:rsidP="004A4F94">
      <w:pPr>
        <w:suppressAutoHyphens/>
        <w:ind w:firstLine="720"/>
        <w:jc w:val="both"/>
      </w:pPr>
      <w:r w:rsidRPr="004D1F41">
        <w:rPr>
          <w:noProof/>
          <w:lang w:eastAsia="ru-RU"/>
        </w:rPr>
        <w:t>К</w:t>
      </w:r>
      <w:r w:rsidRPr="004D1F41">
        <w:rPr>
          <w:noProof/>
          <w:vertAlign w:val="subscript"/>
          <w:lang w:val="en-US" w:eastAsia="ru-RU"/>
        </w:rPr>
        <w:t>max</w:t>
      </w:r>
      <w:r w:rsidR="0093704B" w:rsidRPr="004D1F41">
        <w:t xml:space="preserve"> - максимальное предложение из </w:t>
      </w:r>
      <w:r w:rsidR="00E8234B">
        <w:t>предложений по показателю</w:t>
      </w:r>
      <w:r w:rsidR="003D772D">
        <w:t xml:space="preserve"> </w:t>
      </w:r>
      <w:proofErr w:type="spellStart"/>
      <w:r w:rsidR="003D772D">
        <w:t>нестоимостного</w:t>
      </w:r>
      <w:proofErr w:type="spellEnd"/>
      <w:r w:rsidR="003D772D">
        <w:t xml:space="preserve"> критерия</w:t>
      </w:r>
      <w:r w:rsidR="0093704B" w:rsidRPr="004D1F41">
        <w:t xml:space="preserve"> оценки</w:t>
      </w:r>
      <w:r w:rsidR="00BA09DD" w:rsidRPr="004D1F41">
        <w:t>, сделанных участниками закупки</w:t>
      </w:r>
      <w:r w:rsidR="004A4F94" w:rsidRPr="004D1F41">
        <w:t>.</w:t>
      </w:r>
    </w:p>
    <w:p w:rsidR="002E140C" w:rsidRDefault="002E140C" w:rsidP="004A4F94">
      <w:pPr>
        <w:suppressAutoHyphens/>
        <w:ind w:firstLine="720"/>
        <w:jc w:val="both"/>
      </w:pPr>
    </w:p>
    <w:p w:rsidR="002E140C" w:rsidRPr="004D1F41" w:rsidRDefault="002E140C" w:rsidP="004A4F94">
      <w:pPr>
        <w:suppressAutoHyphens/>
        <w:ind w:firstLine="720"/>
        <w:jc w:val="both"/>
      </w:pPr>
    </w:p>
    <w:p w:rsidR="004A4F94" w:rsidRPr="004D1F41" w:rsidRDefault="004A4F94" w:rsidP="004A4F94">
      <w:pPr>
        <w:pStyle w:val="a9"/>
        <w:numPr>
          <w:ilvl w:val="1"/>
          <w:numId w:val="2"/>
        </w:numPr>
        <w:tabs>
          <w:tab w:val="left" w:pos="142"/>
        </w:tabs>
        <w:suppressAutoHyphens/>
        <w:ind w:left="0" w:firstLine="709"/>
        <w:jc w:val="both"/>
        <w:rPr>
          <w:sz w:val="22"/>
          <w:szCs w:val="22"/>
          <w:lang w:eastAsia="ar-SA"/>
        </w:rPr>
      </w:pPr>
      <w:r w:rsidRPr="004D1F41">
        <w:t>Ре</w:t>
      </w:r>
      <w:r w:rsidR="003D772D">
        <w:t xml:space="preserve">йтинг по </w:t>
      </w:r>
      <w:r w:rsidR="00E8234B">
        <w:t>показателю</w:t>
      </w:r>
      <w:r w:rsidRPr="004D1F41">
        <w:t xml:space="preserve"> </w:t>
      </w:r>
      <w:proofErr w:type="spellStart"/>
      <w:r w:rsidR="003D772D">
        <w:t>нестоимостного</w:t>
      </w:r>
      <w:proofErr w:type="spellEnd"/>
      <w:r w:rsidR="003D772D">
        <w:t xml:space="preserve"> критерия </w:t>
      </w:r>
      <w:r w:rsidRPr="004D1F41">
        <w:t>оценки (</w:t>
      </w:r>
      <w:proofErr w:type="spellStart"/>
      <w:proofErr w:type="gramStart"/>
      <w:r w:rsidRPr="004D1F41">
        <w:t>R</w:t>
      </w:r>
      <w:proofErr w:type="gramEnd"/>
      <w:r w:rsidRPr="004D1F41">
        <w:t>НЦБ</w:t>
      </w:r>
      <w:r w:rsidRPr="00860DDA">
        <w:rPr>
          <w:vertAlign w:val="subscript"/>
        </w:rPr>
        <w:t>i</w:t>
      </w:r>
      <w:proofErr w:type="spellEnd"/>
      <w:r w:rsidRPr="004D1F41">
        <w:t>), определяется по формуле:</w:t>
      </w:r>
    </w:p>
    <w:p w:rsidR="004A4F94" w:rsidRPr="004D1F41" w:rsidRDefault="004A4F94" w:rsidP="004A4F94">
      <w:pPr>
        <w:pStyle w:val="a9"/>
        <w:tabs>
          <w:tab w:val="left" w:pos="142"/>
        </w:tabs>
        <w:suppressAutoHyphens/>
        <w:ind w:left="709"/>
        <w:jc w:val="both"/>
        <w:rPr>
          <w:sz w:val="22"/>
          <w:szCs w:val="22"/>
          <w:lang w:eastAsia="ar-SA"/>
        </w:rPr>
      </w:pPr>
    </w:p>
    <w:p w:rsidR="0093704B" w:rsidRPr="00916573" w:rsidRDefault="004A4F94" w:rsidP="004A4F94">
      <w:pPr>
        <w:suppressAutoHyphens/>
        <w:ind w:firstLine="720"/>
        <w:jc w:val="center"/>
      </w:pPr>
      <w:r w:rsidRPr="004D1F41">
        <w:rPr>
          <w:lang w:val="en-US"/>
        </w:rPr>
        <w:t>R</w:t>
      </w:r>
      <w:r w:rsidRPr="00770599">
        <w:t>НЦБ</w:t>
      </w:r>
      <w:proofErr w:type="spellStart"/>
      <w:r w:rsidRPr="00860DDA">
        <w:rPr>
          <w:vertAlign w:val="subscript"/>
          <w:lang w:val="en-US"/>
        </w:rPr>
        <w:t>i</w:t>
      </w:r>
      <w:proofErr w:type="spellEnd"/>
      <w:r w:rsidRPr="00770599">
        <w:t xml:space="preserve"> = НЦБ</w:t>
      </w:r>
      <w:proofErr w:type="spellStart"/>
      <w:r w:rsidRPr="00432430">
        <w:rPr>
          <w:vertAlign w:val="subscript"/>
          <w:lang w:val="en-US"/>
        </w:rPr>
        <w:t>i</w:t>
      </w:r>
      <w:proofErr w:type="spellEnd"/>
      <w:r w:rsidRPr="00770599">
        <w:t xml:space="preserve"> х </w:t>
      </w:r>
      <w:r w:rsidRPr="004D1F41">
        <w:rPr>
          <w:lang w:val="en-US"/>
        </w:rPr>
        <w:t>K</w:t>
      </w:r>
      <w:r w:rsidRPr="00770599">
        <w:t>З</w:t>
      </w:r>
      <w:proofErr w:type="spellStart"/>
      <w:r w:rsidR="00BE59F0" w:rsidRPr="00BE59F0">
        <w:rPr>
          <w:vertAlign w:val="subscript"/>
          <w:lang w:val="en-US"/>
        </w:rPr>
        <w:t>i</w:t>
      </w:r>
      <w:proofErr w:type="spellEnd"/>
    </w:p>
    <w:p w:rsidR="0093704B" w:rsidRPr="004D1F41" w:rsidRDefault="00916573" w:rsidP="0093704B">
      <w:pPr>
        <w:suppressAutoHyphens/>
        <w:ind w:firstLine="720"/>
        <w:jc w:val="both"/>
      </w:pPr>
      <w:r>
        <w:t>г</w:t>
      </w:r>
      <w:r w:rsidR="004D1F41" w:rsidRPr="004D1F41">
        <w:t>де</w:t>
      </w:r>
      <w:r>
        <w:t>:</w:t>
      </w:r>
      <w:r w:rsidR="004D1F41" w:rsidRPr="004D1F41">
        <w:t xml:space="preserve"> </w:t>
      </w:r>
    </w:p>
    <w:p w:rsidR="004D1F41" w:rsidRPr="004D1F41" w:rsidRDefault="004D1F41" w:rsidP="004D1F41">
      <w:pPr>
        <w:suppressAutoHyphens/>
        <w:ind w:firstLine="720"/>
        <w:jc w:val="both"/>
        <w:rPr>
          <w:noProof/>
          <w:lang w:eastAsia="ru-RU"/>
        </w:rPr>
      </w:pPr>
      <w:r w:rsidRPr="004D1F41">
        <w:rPr>
          <w:noProof/>
          <w:lang w:eastAsia="ru-RU"/>
        </w:rPr>
        <w:t>НЦБ</w:t>
      </w:r>
      <w:r w:rsidRPr="00432430">
        <w:rPr>
          <w:noProof/>
          <w:vertAlign w:val="subscript"/>
          <w:lang w:eastAsia="ru-RU"/>
        </w:rPr>
        <w:t>i</w:t>
      </w:r>
      <w:r w:rsidRPr="004D1F41">
        <w:rPr>
          <w:noProof/>
          <w:lang w:eastAsia="ru-RU"/>
        </w:rPr>
        <w:t xml:space="preserve">– количество баллов, присуждаемых участнику по </w:t>
      </w:r>
      <w:r w:rsidR="00677F0A">
        <w:rPr>
          <w:noProof/>
          <w:lang w:eastAsia="ru-RU"/>
        </w:rPr>
        <w:t>показателю нестоимостного критерия оценки</w:t>
      </w:r>
      <w:r w:rsidRPr="004D1F41">
        <w:rPr>
          <w:noProof/>
          <w:lang w:eastAsia="ru-RU"/>
        </w:rPr>
        <w:t xml:space="preserve">; </w:t>
      </w:r>
    </w:p>
    <w:p w:rsidR="004D1F41" w:rsidRPr="0014483B" w:rsidRDefault="004D1F41" w:rsidP="004D1F41">
      <w:pPr>
        <w:suppressAutoHyphens/>
        <w:ind w:firstLine="720"/>
        <w:jc w:val="both"/>
        <w:rPr>
          <w:noProof/>
          <w:lang w:eastAsia="ru-RU"/>
        </w:rPr>
      </w:pPr>
      <w:r w:rsidRPr="004D1F41">
        <w:rPr>
          <w:noProof/>
          <w:lang w:eastAsia="ru-RU"/>
        </w:rPr>
        <w:t>KЗ</w:t>
      </w:r>
      <w:r w:rsidR="00BE59F0" w:rsidRPr="00BE59F0">
        <w:rPr>
          <w:noProof/>
          <w:vertAlign w:val="subscript"/>
          <w:lang w:val="en-US" w:eastAsia="ru-RU"/>
        </w:rPr>
        <w:t>i</w:t>
      </w:r>
      <w:r w:rsidRPr="004D1F41">
        <w:rPr>
          <w:noProof/>
          <w:lang w:eastAsia="ru-RU"/>
        </w:rPr>
        <w:t xml:space="preserve"> - коэффициент значимости </w:t>
      </w:r>
      <w:r w:rsidR="0014483B">
        <w:rPr>
          <w:noProof/>
          <w:lang w:val="en-US" w:eastAsia="ru-RU"/>
        </w:rPr>
        <w:t>i</w:t>
      </w:r>
      <w:r w:rsidR="0005447B">
        <w:rPr>
          <w:noProof/>
          <w:lang w:eastAsia="ru-RU"/>
        </w:rPr>
        <w:t>-того показателя нестоим</w:t>
      </w:r>
      <w:r w:rsidR="0014483B">
        <w:rPr>
          <w:noProof/>
          <w:lang w:eastAsia="ru-RU"/>
        </w:rPr>
        <w:t>о</w:t>
      </w:r>
      <w:r w:rsidR="0005447B">
        <w:rPr>
          <w:noProof/>
          <w:lang w:eastAsia="ru-RU"/>
        </w:rPr>
        <w:t>с</w:t>
      </w:r>
      <w:r w:rsidR="0014483B">
        <w:rPr>
          <w:noProof/>
          <w:lang w:eastAsia="ru-RU"/>
        </w:rPr>
        <w:t xml:space="preserve">тного </w:t>
      </w:r>
      <w:r w:rsidRPr="004D1F41">
        <w:rPr>
          <w:noProof/>
          <w:lang w:eastAsia="ru-RU"/>
        </w:rPr>
        <w:t>критерия</w:t>
      </w:r>
      <w:r w:rsidR="0014483B">
        <w:rPr>
          <w:noProof/>
          <w:lang w:eastAsia="ru-RU"/>
        </w:rPr>
        <w:t xml:space="preserve"> оценки</w:t>
      </w:r>
      <w:r w:rsidRPr="004D1F41">
        <w:rPr>
          <w:noProof/>
          <w:lang w:eastAsia="ru-RU"/>
        </w:rPr>
        <w:t>.</w:t>
      </w:r>
    </w:p>
    <w:p w:rsidR="00E8234B" w:rsidRDefault="00E8234B" w:rsidP="00E8234B">
      <w:pPr>
        <w:pStyle w:val="a9"/>
        <w:numPr>
          <w:ilvl w:val="1"/>
          <w:numId w:val="2"/>
        </w:numPr>
        <w:suppressAutoHyphens/>
        <w:ind w:left="0" w:firstLine="709"/>
        <w:jc w:val="both"/>
      </w:pPr>
      <w:r w:rsidRPr="004D1F41">
        <w:t xml:space="preserve">Рейтинг по </w:t>
      </w:r>
      <w:proofErr w:type="spellStart"/>
      <w:r w:rsidRPr="004D1F41">
        <w:t>несто</w:t>
      </w:r>
      <w:r w:rsidR="0005447B">
        <w:t>им</w:t>
      </w:r>
      <w:r w:rsidR="006078A3">
        <w:t>остному</w:t>
      </w:r>
      <w:proofErr w:type="spellEnd"/>
      <w:r w:rsidR="006078A3">
        <w:t xml:space="preserve"> критерию оценки (</w:t>
      </w:r>
      <w:proofErr w:type="gramStart"/>
      <w:r w:rsidR="006078A3">
        <w:t>R</w:t>
      </w:r>
      <w:proofErr w:type="gramEnd"/>
      <w:r w:rsidR="006078A3" w:rsidRPr="006078A3">
        <w:rPr>
          <w:vertAlign w:val="subscript"/>
        </w:rPr>
        <w:t>НЦБ</w:t>
      </w:r>
      <w:r w:rsidRPr="004D1F41">
        <w:t>)</w:t>
      </w:r>
      <w:r w:rsidR="0005447B">
        <w:t xml:space="preserve"> определяется как сумма рейтингов по показателям </w:t>
      </w:r>
      <w:proofErr w:type="spellStart"/>
      <w:r w:rsidR="0005447B">
        <w:t>нестоимостного</w:t>
      </w:r>
      <w:proofErr w:type="spellEnd"/>
      <w:r w:rsidR="0005447B">
        <w:t xml:space="preserve"> критерия оценки, умноженная на коэффициент значимости </w:t>
      </w:r>
      <w:proofErr w:type="spellStart"/>
      <w:r w:rsidR="0005447B">
        <w:t>нестоимостного</w:t>
      </w:r>
      <w:proofErr w:type="spellEnd"/>
      <w:r w:rsidR="0005447B">
        <w:t xml:space="preserve"> критерия оценки</w:t>
      </w:r>
      <w:r w:rsidRPr="004D1F41">
        <w:t>:</w:t>
      </w:r>
    </w:p>
    <w:p w:rsidR="00524BC4" w:rsidRDefault="00524BC4" w:rsidP="00524BC4">
      <w:pPr>
        <w:pStyle w:val="a9"/>
        <w:suppressAutoHyphens/>
        <w:ind w:left="709"/>
        <w:jc w:val="both"/>
      </w:pPr>
    </w:p>
    <w:p w:rsidR="0005447B" w:rsidRPr="00860DDA" w:rsidRDefault="00867052" w:rsidP="006078A3">
      <w:pPr>
        <w:pStyle w:val="a9"/>
        <w:suppressAutoHyphens/>
        <w:ind w:left="709"/>
        <w:jc w:val="both"/>
        <w:rPr>
          <w:rFonts w:eastAsiaTheme="minorEastAsia"/>
        </w:rPr>
      </w:pPr>
      <m:oMathPara>
        <m:oMath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  <w:lang w:val="en-US"/>
                </w:rPr>
                <m:t>R</m:t>
              </m:r>
            </m:e>
            <m:sub>
              <m:r>
                <w:rPr>
                  <w:rFonts w:ascii="Cambria Math" w:hAnsi="Cambria Math"/>
                </w:rPr>
                <m:t xml:space="preserve">НЦБ </m:t>
              </m:r>
            </m:sub>
          </m:sSub>
          <m:r>
            <w:rPr>
              <w:rFonts w:ascii="Cambria Math" w:hAnsi="Cambria Math"/>
            </w:rPr>
            <m:t xml:space="preserve">=  </m:t>
          </m:r>
          <m:nary>
            <m:naryPr>
              <m:chr m:val="∑"/>
              <m:limLoc m:val="undOvr"/>
              <m:ctrlPr>
                <w:rPr>
                  <w:rFonts w:ascii="Cambria Math" w:hAnsi="Cambria Math"/>
                  <w:i/>
                </w:rPr>
              </m:ctrlPr>
            </m:naryPr>
            <m:sub>
              <m:r>
                <w:rPr>
                  <w:rFonts w:ascii="Cambria Math" w:hAnsi="Cambria Math"/>
                  <w:lang w:val="en-US"/>
                </w:rPr>
                <m:t>i</m:t>
              </m:r>
              <m:r>
                <w:rPr>
                  <w:rFonts w:ascii="Cambria Math" w:hAnsi="Cambria Math"/>
                </w:rPr>
                <m:t>=1</m:t>
              </m:r>
            </m:sub>
            <m:sup>
              <m:r>
                <w:rPr>
                  <w:rFonts w:ascii="Cambria Math" w:hAnsi="Cambria Math"/>
                </w:rPr>
                <m:t>n</m:t>
              </m:r>
            </m:sup>
            <m:e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R</m:t>
                  </m:r>
                </m:e>
                <m:sub>
                  <m:sSub>
                    <m:sSubPr>
                      <m:ctrlPr>
                        <w:rPr>
                          <w:rFonts w:ascii="Cambria Math" w:hAnsi="Cambria Math"/>
                          <w:i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</w:rPr>
                        <m:t>НЦБ</m:t>
                      </m:r>
                    </m:e>
                    <m:sub>
                      <m:r>
                        <w:rPr>
                          <w:rFonts w:ascii="Cambria Math" w:hAnsi="Cambria Math"/>
                        </w:rPr>
                        <m:t>i</m:t>
                      </m:r>
                    </m:sub>
                  </m:sSub>
                </m:sub>
              </m:sSub>
            </m:e>
          </m:nary>
          <m:r>
            <w:rPr>
              <w:rFonts w:ascii="Cambria Math" w:hAnsi="Cambria Math"/>
            </w:rPr>
            <m:t xml:space="preserve">×КЗ, </m:t>
          </m:r>
        </m:oMath>
      </m:oMathPara>
    </w:p>
    <w:p w:rsidR="00860DDA" w:rsidRDefault="00860DDA" w:rsidP="006078A3">
      <w:pPr>
        <w:pStyle w:val="a9"/>
        <w:suppressAutoHyphens/>
        <w:ind w:left="709"/>
        <w:jc w:val="both"/>
      </w:pPr>
      <w:r>
        <w:t>где</w:t>
      </w:r>
      <w:r w:rsidR="00916573">
        <w:t>:</w:t>
      </w:r>
      <w:r>
        <w:t xml:space="preserve"> </w:t>
      </w:r>
    </w:p>
    <w:p w:rsidR="00860DDA" w:rsidRDefault="00860DDA" w:rsidP="006078A3">
      <w:pPr>
        <w:pStyle w:val="a9"/>
        <w:suppressAutoHyphens/>
        <w:ind w:left="709"/>
        <w:jc w:val="both"/>
      </w:pPr>
    </w:p>
    <w:p w:rsidR="00860DDA" w:rsidRDefault="00860DDA" w:rsidP="00451D29">
      <w:pPr>
        <w:suppressAutoHyphens/>
        <w:ind w:firstLine="720"/>
        <w:jc w:val="both"/>
        <w:rPr>
          <w:noProof/>
          <w:lang w:eastAsia="ru-RU"/>
        </w:rPr>
      </w:pPr>
      <w:r w:rsidRPr="00451D29">
        <w:rPr>
          <w:noProof/>
          <w:lang w:eastAsia="ru-RU"/>
        </w:rPr>
        <w:t>R</w:t>
      </w:r>
      <w:r w:rsidRPr="00770599">
        <w:rPr>
          <w:noProof/>
          <w:lang w:eastAsia="ru-RU"/>
        </w:rPr>
        <w:t>НЦБ</w:t>
      </w:r>
      <w:r w:rsidRPr="00451D29">
        <w:rPr>
          <w:noProof/>
          <w:lang w:eastAsia="ru-RU"/>
        </w:rPr>
        <w:t xml:space="preserve">i </w:t>
      </w:r>
      <w:r>
        <w:rPr>
          <w:noProof/>
          <w:lang w:eastAsia="ru-RU"/>
        </w:rPr>
        <w:t xml:space="preserve"> - р</w:t>
      </w:r>
      <w:r w:rsidRPr="004D1F41">
        <w:rPr>
          <w:noProof/>
          <w:lang w:eastAsia="ru-RU"/>
        </w:rPr>
        <w:t>е</w:t>
      </w:r>
      <w:r>
        <w:rPr>
          <w:noProof/>
          <w:lang w:eastAsia="ru-RU"/>
        </w:rPr>
        <w:t xml:space="preserve">йтинг заявки по </w:t>
      </w:r>
      <w:r w:rsidRPr="00451D29">
        <w:rPr>
          <w:noProof/>
          <w:lang w:eastAsia="ru-RU"/>
        </w:rPr>
        <w:t>i</w:t>
      </w:r>
      <w:r w:rsidRPr="00860DDA">
        <w:rPr>
          <w:noProof/>
          <w:lang w:eastAsia="ru-RU"/>
        </w:rPr>
        <w:t>-</w:t>
      </w:r>
      <w:r>
        <w:rPr>
          <w:noProof/>
          <w:lang w:eastAsia="ru-RU"/>
        </w:rPr>
        <w:t>тому показателю</w:t>
      </w:r>
      <w:r w:rsidRPr="004D1F41">
        <w:rPr>
          <w:noProof/>
          <w:lang w:eastAsia="ru-RU"/>
        </w:rPr>
        <w:t xml:space="preserve"> </w:t>
      </w:r>
      <w:r>
        <w:rPr>
          <w:noProof/>
          <w:lang w:eastAsia="ru-RU"/>
        </w:rPr>
        <w:t xml:space="preserve">нестоимостного критерия </w:t>
      </w:r>
      <w:r w:rsidRPr="004D1F41">
        <w:rPr>
          <w:noProof/>
          <w:lang w:eastAsia="ru-RU"/>
        </w:rPr>
        <w:t>оценки</w:t>
      </w:r>
      <w:r>
        <w:rPr>
          <w:noProof/>
          <w:lang w:eastAsia="ru-RU"/>
        </w:rPr>
        <w:t>;</w:t>
      </w:r>
    </w:p>
    <w:p w:rsidR="00860DDA" w:rsidRPr="00860DDA" w:rsidRDefault="00860DDA" w:rsidP="00451D29">
      <w:pPr>
        <w:suppressAutoHyphens/>
        <w:ind w:firstLine="720"/>
        <w:jc w:val="both"/>
        <w:rPr>
          <w:noProof/>
          <w:lang w:eastAsia="ru-RU"/>
        </w:rPr>
      </w:pPr>
      <w:r>
        <w:rPr>
          <w:noProof/>
          <w:lang w:eastAsia="ru-RU"/>
        </w:rPr>
        <w:t xml:space="preserve">КЗ - </w:t>
      </w:r>
      <w:r w:rsidRPr="004D1F41">
        <w:rPr>
          <w:noProof/>
          <w:lang w:eastAsia="ru-RU"/>
        </w:rPr>
        <w:t xml:space="preserve">коэффициент значимости </w:t>
      </w:r>
      <w:r>
        <w:rPr>
          <w:noProof/>
          <w:lang w:eastAsia="ru-RU"/>
        </w:rPr>
        <w:t xml:space="preserve">нестоимостного </w:t>
      </w:r>
      <w:r w:rsidRPr="004D1F41">
        <w:rPr>
          <w:noProof/>
          <w:lang w:eastAsia="ru-RU"/>
        </w:rPr>
        <w:t>критерия</w:t>
      </w:r>
      <w:r>
        <w:rPr>
          <w:noProof/>
          <w:lang w:eastAsia="ru-RU"/>
        </w:rPr>
        <w:t>.</w:t>
      </w:r>
    </w:p>
    <w:sectPr w:rsidR="00860DDA" w:rsidRPr="00860DDA" w:rsidSect="00302242">
      <w:headerReference w:type="default" r:id="rId10"/>
      <w:pgSz w:w="12240" w:h="15840"/>
      <w:pgMar w:top="1134" w:right="850" w:bottom="1134" w:left="1701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A2A4D" w:rsidRDefault="00DA2A4D" w:rsidP="005329C6">
      <w:r>
        <w:separator/>
      </w:r>
    </w:p>
  </w:endnote>
  <w:endnote w:type="continuationSeparator" w:id="0">
    <w:p w:rsidR="00DA2A4D" w:rsidRDefault="00DA2A4D" w:rsidP="005329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A2A4D" w:rsidRDefault="00DA2A4D" w:rsidP="005329C6">
      <w:r>
        <w:separator/>
      </w:r>
    </w:p>
  </w:footnote>
  <w:footnote w:type="continuationSeparator" w:id="0">
    <w:p w:rsidR="00DA2A4D" w:rsidRDefault="00DA2A4D" w:rsidP="005329C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67052" w:rsidRDefault="00AE789A" w:rsidP="00867052">
    <w:pPr>
      <w:pStyle w:val="a3"/>
    </w:pPr>
    <w:r>
      <w:t xml:space="preserve">                                                                                                      </w:t>
    </w:r>
  </w:p>
  <w:p w:rsidR="00AE789A" w:rsidRDefault="00AE789A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392AA5"/>
    <w:multiLevelType w:val="hybridMultilevel"/>
    <w:tmpl w:val="61F46B32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0E394B33"/>
    <w:multiLevelType w:val="multilevel"/>
    <w:tmpl w:val="6C488C62"/>
    <w:lvl w:ilvl="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340" w:hanging="12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340" w:hanging="126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340" w:hanging="126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340" w:hanging="126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340" w:hanging="126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1800"/>
      </w:pPr>
      <w:rPr>
        <w:rFonts w:hint="default"/>
      </w:rPr>
    </w:lvl>
  </w:abstractNum>
  <w:abstractNum w:abstractNumId="2">
    <w:nsid w:val="26497AD8"/>
    <w:multiLevelType w:val="multilevel"/>
    <w:tmpl w:val="AE86E312"/>
    <w:lvl w:ilvl="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112" w:hanging="1260"/>
      </w:pPr>
      <w:rPr>
        <w:rFonts w:hint="default"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2340" w:hanging="126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340" w:hanging="126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340" w:hanging="126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340" w:hanging="126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1800"/>
      </w:pPr>
      <w:rPr>
        <w:rFonts w:hint="default"/>
      </w:rPr>
    </w:lvl>
  </w:abstractNum>
  <w:abstractNum w:abstractNumId="3">
    <w:nsid w:val="399A0C91"/>
    <w:multiLevelType w:val="hybridMultilevel"/>
    <w:tmpl w:val="3E00D038"/>
    <w:lvl w:ilvl="0" w:tplc="CBFE5E9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5BC6073"/>
    <w:multiLevelType w:val="multilevel"/>
    <w:tmpl w:val="AE86E312"/>
    <w:lvl w:ilvl="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112" w:hanging="1260"/>
      </w:pPr>
      <w:rPr>
        <w:rFonts w:hint="default"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2340" w:hanging="126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340" w:hanging="126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340" w:hanging="126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340" w:hanging="126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1800"/>
      </w:pPr>
      <w:rPr>
        <w:rFonts w:hint="default"/>
      </w:rPr>
    </w:lvl>
  </w:abstractNum>
  <w:abstractNum w:abstractNumId="5">
    <w:nsid w:val="5C1435E4"/>
    <w:multiLevelType w:val="multilevel"/>
    <w:tmpl w:val="ED883264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  <w:num w:numId="5">
    <w:abstractNumId w:val="5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035B"/>
    <w:rsid w:val="00015901"/>
    <w:rsid w:val="00024697"/>
    <w:rsid w:val="00026823"/>
    <w:rsid w:val="0003277D"/>
    <w:rsid w:val="000343DB"/>
    <w:rsid w:val="0005447B"/>
    <w:rsid w:val="0006119B"/>
    <w:rsid w:val="00061F81"/>
    <w:rsid w:val="00076C1F"/>
    <w:rsid w:val="00081D03"/>
    <w:rsid w:val="00087694"/>
    <w:rsid w:val="000928F3"/>
    <w:rsid w:val="00093A32"/>
    <w:rsid w:val="000E00EC"/>
    <w:rsid w:val="00120FC2"/>
    <w:rsid w:val="0012426F"/>
    <w:rsid w:val="001404BA"/>
    <w:rsid w:val="0014483B"/>
    <w:rsid w:val="00150170"/>
    <w:rsid w:val="00161C56"/>
    <w:rsid w:val="00175C13"/>
    <w:rsid w:val="00181815"/>
    <w:rsid w:val="001A2F98"/>
    <w:rsid w:val="001B4E5D"/>
    <w:rsid w:val="002020D4"/>
    <w:rsid w:val="00215083"/>
    <w:rsid w:val="00221289"/>
    <w:rsid w:val="00274610"/>
    <w:rsid w:val="00275F23"/>
    <w:rsid w:val="00280BC2"/>
    <w:rsid w:val="00286230"/>
    <w:rsid w:val="00295466"/>
    <w:rsid w:val="002A083B"/>
    <w:rsid w:val="002C3342"/>
    <w:rsid w:val="002E140C"/>
    <w:rsid w:val="002F36B4"/>
    <w:rsid w:val="00317502"/>
    <w:rsid w:val="00317768"/>
    <w:rsid w:val="00317D77"/>
    <w:rsid w:val="00332F82"/>
    <w:rsid w:val="00342170"/>
    <w:rsid w:val="00354B2A"/>
    <w:rsid w:val="0037782B"/>
    <w:rsid w:val="0038671F"/>
    <w:rsid w:val="00390A49"/>
    <w:rsid w:val="00393F8B"/>
    <w:rsid w:val="003D772D"/>
    <w:rsid w:val="003F6387"/>
    <w:rsid w:val="003F7973"/>
    <w:rsid w:val="0041794C"/>
    <w:rsid w:val="00420178"/>
    <w:rsid w:val="00431BF2"/>
    <w:rsid w:val="00432430"/>
    <w:rsid w:val="00435876"/>
    <w:rsid w:val="00451D29"/>
    <w:rsid w:val="00465F42"/>
    <w:rsid w:val="00466897"/>
    <w:rsid w:val="0046754A"/>
    <w:rsid w:val="00471A4B"/>
    <w:rsid w:val="00471F84"/>
    <w:rsid w:val="004A03DB"/>
    <w:rsid w:val="004A4F94"/>
    <w:rsid w:val="004A56C7"/>
    <w:rsid w:val="004A7387"/>
    <w:rsid w:val="004B4308"/>
    <w:rsid w:val="004B5C06"/>
    <w:rsid w:val="004C3E5A"/>
    <w:rsid w:val="004D1F41"/>
    <w:rsid w:val="005116EA"/>
    <w:rsid w:val="00512949"/>
    <w:rsid w:val="005203EB"/>
    <w:rsid w:val="00522AE2"/>
    <w:rsid w:val="00524BC4"/>
    <w:rsid w:val="00525BDB"/>
    <w:rsid w:val="005329C6"/>
    <w:rsid w:val="0058604F"/>
    <w:rsid w:val="0058658F"/>
    <w:rsid w:val="00591964"/>
    <w:rsid w:val="005A1097"/>
    <w:rsid w:val="005A2BE9"/>
    <w:rsid w:val="005A3DF3"/>
    <w:rsid w:val="005C0DCE"/>
    <w:rsid w:val="005C3C85"/>
    <w:rsid w:val="005D0E35"/>
    <w:rsid w:val="005D2019"/>
    <w:rsid w:val="005D28C7"/>
    <w:rsid w:val="006078A3"/>
    <w:rsid w:val="00620524"/>
    <w:rsid w:val="006264B1"/>
    <w:rsid w:val="006274FD"/>
    <w:rsid w:val="006362AE"/>
    <w:rsid w:val="006429F2"/>
    <w:rsid w:val="00656215"/>
    <w:rsid w:val="00657299"/>
    <w:rsid w:val="00677F0A"/>
    <w:rsid w:val="006B2F0A"/>
    <w:rsid w:val="006B5704"/>
    <w:rsid w:val="006B699F"/>
    <w:rsid w:val="006C6CAB"/>
    <w:rsid w:val="006D7C33"/>
    <w:rsid w:val="006E0158"/>
    <w:rsid w:val="00701409"/>
    <w:rsid w:val="00702764"/>
    <w:rsid w:val="00702D04"/>
    <w:rsid w:val="00714FDA"/>
    <w:rsid w:val="00717A61"/>
    <w:rsid w:val="007367EA"/>
    <w:rsid w:val="00736D09"/>
    <w:rsid w:val="00746BEF"/>
    <w:rsid w:val="007472D2"/>
    <w:rsid w:val="00756471"/>
    <w:rsid w:val="00770599"/>
    <w:rsid w:val="00792572"/>
    <w:rsid w:val="007B27B5"/>
    <w:rsid w:val="007D4C62"/>
    <w:rsid w:val="007D51EA"/>
    <w:rsid w:val="007E16BC"/>
    <w:rsid w:val="007E7D90"/>
    <w:rsid w:val="008009E9"/>
    <w:rsid w:val="00802457"/>
    <w:rsid w:val="00823F43"/>
    <w:rsid w:val="00827879"/>
    <w:rsid w:val="00860DDA"/>
    <w:rsid w:val="00862D63"/>
    <w:rsid w:val="00867052"/>
    <w:rsid w:val="008848B9"/>
    <w:rsid w:val="00890E7D"/>
    <w:rsid w:val="00893FF6"/>
    <w:rsid w:val="00896B6B"/>
    <w:rsid w:val="008B1B04"/>
    <w:rsid w:val="008D7583"/>
    <w:rsid w:val="008E1DF5"/>
    <w:rsid w:val="008F14FB"/>
    <w:rsid w:val="008F3485"/>
    <w:rsid w:val="009110C3"/>
    <w:rsid w:val="00916573"/>
    <w:rsid w:val="009361EA"/>
    <w:rsid w:val="0093704B"/>
    <w:rsid w:val="00941312"/>
    <w:rsid w:val="00942148"/>
    <w:rsid w:val="009459F1"/>
    <w:rsid w:val="009476F0"/>
    <w:rsid w:val="00961760"/>
    <w:rsid w:val="00971955"/>
    <w:rsid w:val="00987543"/>
    <w:rsid w:val="009A7DC1"/>
    <w:rsid w:val="009B035B"/>
    <w:rsid w:val="009D0860"/>
    <w:rsid w:val="009D47C6"/>
    <w:rsid w:val="009D64A2"/>
    <w:rsid w:val="009E676B"/>
    <w:rsid w:val="009F3D15"/>
    <w:rsid w:val="00A00567"/>
    <w:rsid w:val="00A03D52"/>
    <w:rsid w:val="00A0581A"/>
    <w:rsid w:val="00A05F1E"/>
    <w:rsid w:val="00A177D2"/>
    <w:rsid w:val="00A31BBD"/>
    <w:rsid w:val="00A365E8"/>
    <w:rsid w:val="00A4060A"/>
    <w:rsid w:val="00A42C33"/>
    <w:rsid w:val="00A42FD5"/>
    <w:rsid w:val="00A52EEA"/>
    <w:rsid w:val="00A81643"/>
    <w:rsid w:val="00A907A5"/>
    <w:rsid w:val="00A969DD"/>
    <w:rsid w:val="00AA00B5"/>
    <w:rsid w:val="00AA0FC3"/>
    <w:rsid w:val="00AA5CDC"/>
    <w:rsid w:val="00AA71D7"/>
    <w:rsid w:val="00AC4092"/>
    <w:rsid w:val="00AD1521"/>
    <w:rsid w:val="00AD2818"/>
    <w:rsid w:val="00AE35A0"/>
    <w:rsid w:val="00AE789A"/>
    <w:rsid w:val="00AF68B2"/>
    <w:rsid w:val="00B11721"/>
    <w:rsid w:val="00B16222"/>
    <w:rsid w:val="00B23508"/>
    <w:rsid w:val="00B372FC"/>
    <w:rsid w:val="00B3793E"/>
    <w:rsid w:val="00B82D87"/>
    <w:rsid w:val="00BA09DD"/>
    <w:rsid w:val="00BC4B6A"/>
    <w:rsid w:val="00BD0BF3"/>
    <w:rsid w:val="00BD7038"/>
    <w:rsid w:val="00BE0799"/>
    <w:rsid w:val="00BE0B96"/>
    <w:rsid w:val="00BE1251"/>
    <w:rsid w:val="00BE59F0"/>
    <w:rsid w:val="00BF516A"/>
    <w:rsid w:val="00C13FB1"/>
    <w:rsid w:val="00C15987"/>
    <w:rsid w:val="00C242FE"/>
    <w:rsid w:val="00C3317D"/>
    <w:rsid w:val="00C55143"/>
    <w:rsid w:val="00C728BB"/>
    <w:rsid w:val="00C72CC7"/>
    <w:rsid w:val="00C747B4"/>
    <w:rsid w:val="00C854EF"/>
    <w:rsid w:val="00CA0B20"/>
    <w:rsid w:val="00CB2976"/>
    <w:rsid w:val="00CC2212"/>
    <w:rsid w:val="00CD0DDF"/>
    <w:rsid w:val="00CD29D1"/>
    <w:rsid w:val="00CE3B55"/>
    <w:rsid w:val="00CE7681"/>
    <w:rsid w:val="00CF16EA"/>
    <w:rsid w:val="00D165F9"/>
    <w:rsid w:val="00D174A0"/>
    <w:rsid w:val="00D278CF"/>
    <w:rsid w:val="00D3461E"/>
    <w:rsid w:val="00D55D3E"/>
    <w:rsid w:val="00D64124"/>
    <w:rsid w:val="00D775BF"/>
    <w:rsid w:val="00D83367"/>
    <w:rsid w:val="00D93D9B"/>
    <w:rsid w:val="00DA2A4D"/>
    <w:rsid w:val="00DB161E"/>
    <w:rsid w:val="00DC1A44"/>
    <w:rsid w:val="00DD275D"/>
    <w:rsid w:val="00DF7FCC"/>
    <w:rsid w:val="00E002CE"/>
    <w:rsid w:val="00E11607"/>
    <w:rsid w:val="00E17D75"/>
    <w:rsid w:val="00E2107F"/>
    <w:rsid w:val="00E56DC8"/>
    <w:rsid w:val="00E6045D"/>
    <w:rsid w:val="00E74247"/>
    <w:rsid w:val="00E8234B"/>
    <w:rsid w:val="00EA2CC5"/>
    <w:rsid w:val="00EA4751"/>
    <w:rsid w:val="00EA70ED"/>
    <w:rsid w:val="00EC338A"/>
    <w:rsid w:val="00F065FF"/>
    <w:rsid w:val="00F14F5A"/>
    <w:rsid w:val="00F34E0C"/>
    <w:rsid w:val="00F479FD"/>
    <w:rsid w:val="00F54D2E"/>
    <w:rsid w:val="00F608F1"/>
    <w:rsid w:val="00F635B4"/>
    <w:rsid w:val="00FB1111"/>
    <w:rsid w:val="00FB6294"/>
    <w:rsid w:val="00FB701B"/>
    <w:rsid w:val="00FC39FD"/>
    <w:rsid w:val="00FF18A6"/>
    <w:rsid w:val="00FF39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704B"/>
    <w:pPr>
      <w:autoSpaceDE w:val="0"/>
      <w:autoSpaceDN w:val="0"/>
      <w:adjustRightInd w:val="0"/>
      <w:spacing w:after="0" w:line="240" w:lineRule="auto"/>
    </w:pPr>
    <w:rPr>
      <w:rFonts w:ascii="Times New Roman CYR" w:hAnsi="Times New Roman CYR" w:cs="Times New Roman CYR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93704B"/>
    <w:pPr>
      <w:outlineLvl w:val="0"/>
    </w:pPr>
  </w:style>
  <w:style w:type="paragraph" w:styleId="5">
    <w:name w:val="heading 5"/>
    <w:basedOn w:val="a"/>
    <w:next w:val="a"/>
    <w:link w:val="50"/>
    <w:qFormat/>
    <w:rsid w:val="004A4F94"/>
    <w:pPr>
      <w:keepNext/>
      <w:numPr>
        <w:ilvl w:val="4"/>
        <w:numId w:val="5"/>
      </w:numPr>
      <w:tabs>
        <w:tab w:val="clear" w:pos="1008"/>
        <w:tab w:val="num" w:pos="360"/>
      </w:tabs>
      <w:suppressAutoHyphens/>
      <w:autoSpaceDE/>
      <w:autoSpaceDN/>
      <w:adjustRightInd/>
      <w:spacing w:before="60"/>
      <w:ind w:left="0" w:firstLine="0"/>
      <w:jc w:val="both"/>
      <w:outlineLvl w:val="4"/>
    </w:pPr>
    <w:rPr>
      <w:rFonts w:ascii="Times New Roman" w:eastAsia="Times New Roman" w:hAnsi="Times New Roman" w:cs="Times New Roman"/>
      <w:b/>
      <w:snapToGrid w:val="0"/>
      <w:sz w:val="26"/>
      <w:szCs w:val="26"/>
      <w:lang w:eastAsia="ru-RU"/>
    </w:rPr>
  </w:style>
  <w:style w:type="paragraph" w:styleId="6">
    <w:name w:val="heading 6"/>
    <w:basedOn w:val="a"/>
    <w:next w:val="a"/>
    <w:link w:val="60"/>
    <w:qFormat/>
    <w:rsid w:val="004A4F94"/>
    <w:pPr>
      <w:widowControl w:val="0"/>
      <w:numPr>
        <w:ilvl w:val="5"/>
        <w:numId w:val="5"/>
      </w:numPr>
      <w:tabs>
        <w:tab w:val="clear" w:pos="1152"/>
        <w:tab w:val="num" w:pos="360"/>
      </w:tabs>
      <w:suppressAutoHyphens/>
      <w:autoSpaceDE/>
      <w:autoSpaceDN/>
      <w:adjustRightInd/>
      <w:spacing w:before="240" w:after="60"/>
      <w:ind w:left="0" w:firstLine="0"/>
      <w:jc w:val="both"/>
      <w:outlineLvl w:val="5"/>
    </w:pPr>
    <w:rPr>
      <w:rFonts w:ascii="Times New Roman" w:eastAsia="Times New Roman" w:hAnsi="Times New Roman" w:cs="Times New Roman"/>
      <w:b/>
      <w:snapToGrid w:val="0"/>
      <w:sz w:val="22"/>
      <w:szCs w:val="26"/>
      <w:lang w:eastAsia="ru-RU"/>
    </w:rPr>
  </w:style>
  <w:style w:type="paragraph" w:styleId="7">
    <w:name w:val="heading 7"/>
    <w:basedOn w:val="a"/>
    <w:next w:val="a"/>
    <w:link w:val="70"/>
    <w:qFormat/>
    <w:rsid w:val="004A4F94"/>
    <w:pPr>
      <w:widowControl w:val="0"/>
      <w:numPr>
        <w:ilvl w:val="6"/>
        <w:numId w:val="5"/>
      </w:numPr>
      <w:tabs>
        <w:tab w:val="clear" w:pos="1296"/>
        <w:tab w:val="num" w:pos="360"/>
      </w:tabs>
      <w:suppressAutoHyphens/>
      <w:autoSpaceDE/>
      <w:autoSpaceDN/>
      <w:adjustRightInd/>
      <w:spacing w:before="240" w:after="60"/>
      <w:ind w:left="0" w:firstLine="0"/>
      <w:jc w:val="both"/>
      <w:outlineLvl w:val="6"/>
    </w:pPr>
    <w:rPr>
      <w:rFonts w:ascii="Times New Roman" w:eastAsia="Times New Roman" w:hAnsi="Times New Roman" w:cs="Times New Roman"/>
      <w:snapToGrid w:val="0"/>
      <w:sz w:val="26"/>
      <w:szCs w:val="26"/>
      <w:lang w:eastAsia="ru-RU"/>
    </w:rPr>
  </w:style>
  <w:style w:type="paragraph" w:styleId="8">
    <w:name w:val="heading 8"/>
    <w:basedOn w:val="a"/>
    <w:next w:val="a"/>
    <w:link w:val="80"/>
    <w:qFormat/>
    <w:rsid w:val="004A4F94"/>
    <w:pPr>
      <w:widowControl w:val="0"/>
      <w:numPr>
        <w:ilvl w:val="7"/>
        <w:numId w:val="5"/>
      </w:numPr>
      <w:tabs>
        <w:tab w:val="clear" w:pos="1440"/>
        <w:tab w:val="num" w:pos="360"/>
      </w:tabs>
      <w:suppressAutoHyphens/>
      <w:autoSpaceDE/>
      <w:autoSpaceDN/>
      <w:adjustRightInd/>
      <w:spacing w:before="240" w:after="60"/>
      <w:ind w:left="0" w:firstLine="0"/>
      <w:jc w:val="both"/>
      <w:outlineLvl w:val="7"/>
    </w:pPr>
    <w:rPr>
      <w:rFonts w:ascii="Times New Roman" w:eastAsia="Times New Roman" w:hAnsi="Times New Roman" w:cs="Times New Roman"/>
      <w:i/>
      <w:snapToGrid w:val="0"/>
      <w:sz w:val="26"/>
      <w:szCs w:val="26"/>
      <w:lang w:eastAsia="ru-RU"/>
    </w:rPr>
  </w:style>
  <w:style w:type="paragraph" w:styleId="9">
    <w:name w:val="heading 9"/>
    <w:basedOn w:val="a"/>
    <w:next w:val="a"/>
    <w:link w:val="90"/>
    <w:qFormat/>
    <w:rsid w:val="004A4F94"/>
    <w:pPr>
      <w:widowControl w:val="0"/>
      <w:numPr>
        <w:ilvl w:val="8"/>
        <w:numId w:val="5"/>
      </w:numPr>
      <w:tabs>
        <w:tab w:val="clear" w:pos="1584"/>
        <w:tab w:val="num" w:pos="360"/>
      </w:tabs>
      <w:suppressAutoHyphens/>
      <w:autoSpaceDE/>
      <w:autoSpaceDN/>
      <w:adjustRightInd/>
      <w:spacing w:before="240" w:after="60"/>
      <w:ind w:left="0" w:firstLine="0"/>
      <w:jc w:val="both"/>
      <w:outlineLvl w:val="8"/>
    </w:pPr>
    <w:rPr>
      <w:rFonts w:ascii="Arial" w:eastAsia="Times New Roman" w:hAnsi="Arial" w:cs="Times New Roman"/>
      <w:snapToGrid w:val="0"/>
      <w:sz w:val="22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93704B"/>
    <w:rPr>
      <w:rFonts w:ascii="Times New Roman CYR" w:hAnsi="Times New Roman CYR" w:cs="Times New Roman CYR"/>
      <w:sz w:val="24"/>
      <w:szCs w:val="24"/>
    </w:rPr>
  </w:style>
  <w:style w:type="paragraph" w:styleId="a3">
    <w:name w:val="header"/>
    <w:basedOn w:val="a"/>
    <w:link w:val="a4"/>
    <w:uiPriority w:val="99"/>
    <w:unhideWhenUsed/>
    <w:rsid w:val="005329C6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5329C6"/>
    <w:rPr>
      <w:rFonts w:ascii="Times New Roman CYR" w:hAnsi="Times New Roman CYR" w:cs="Times New Roman CYR"/>
      <w:sz w:val="24"/>
      <w:szCs w:val="24"/>
    </w:rPr>
  </w:style>
  <w:style w:type="paragraph" w:styleId="a5">
    <w:name w:val="footer"/>
    <w:basedOn w:val="a"/>
    <w:link w:val="a6"/>
    <w:uiPriority w:val="99"/>
    <w:unhideWhenUsed/>
    <w:rsid w:val="005329C6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5329C6"/>
    <w:rPr>
      <w:rFonts w:ascii="Times New Roman CYR" w:hAnsi="Times New Roman CYR" w:cs="Times New Roman CYR"/>
      <w:sz w:val="24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AA0FC3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AA0FC3"/>
    <w:rPr>
      <w:rFonts w:ascii="Tahoma" w:hAnsi="Tahoma" w:cs="Tahoma"/>
      <w:sz w:val="16"/>
      <w:szCs w:val="16"/>
    </w:rPr>
  </w:style>
  <w:style w:type="paragraph" w:styleId="a9">
    <w:name w:val="List Paragraph"/>
    <w:basedOn w:val="a"/>
    <w:uiPriority w:val="34"/>
    <w:qFormat/>
    <w:rsid w:val="00BE1251"/>
    <w:pPr>
      <w:ind w:left="720"/>
      <w:contextualSpacing/>
    </w:pPr>
  </w:style>
  <w:style w:type="character" w:styleId="aa">
    <w:name w:val="Placeholder Text"/>
    <w:basedOn w:val="a0"/>
    <w:uiPriority w:val="99"/>
    <w:semiHidden/>
    <w:rsid w:val="00C728BB"/>
    <w:rPr>
      <w:color w:val="808080"/>
    </w:rPr>
  </w:style>
  <w:style w:type="paragraph" w:styleId="2">
    <w:name w:val="toc 2"/>
    <w:basedOn w:val="a"/>
    <w:next w:val="a"/>
    <w:autoRedefine/>
    <w:uiPriority w:val="39"/>
    <w:rsid w:val="006B2F0A"/>
    <w:pPr>
      <w:tabs>
        <w:tab w:val="right" w:leader="dot" w:pos="10195"/>
      </w:tabs>
      <w:autoSpaceDE/>
      <w:autoSpaceDN/>
      <w:adjustRightInd/>
      <w:spacing w:before="120" w:after="60"/>
      <w:ind w:left="1134" w:right="845" w:hanging="595"/>
    </w:pPr>
    <w:rPr>
      <w:rFonts w:ascii="Times New Roman" w:eastAsia="Times New Roman" w:hAnsi="Times New Roman" w:cs="Times New Roman"/>
      <w:b/>
      <w:noProof/>
      <w:snapToGrid w:val="0"/>
      <w:szCs w:val="32"/>
      <w:lang w:val="sr-Cyrl-CS" w:eastAsia="ru-RU"/>
    </w:rPr>
  </w:style>
  <w:style w:type="character" w:customStyle="1" w:styleId="50">
    <w:name w:val="Заголовок 5 Знак"/>
    <w:basedOn w:val="a0"/>
    <w:link w:val="5"/>
    <w:rsid w:val="004A4F94"/>
    <w:rPr>
      <w:rFonts w:ascii="Times New Roman" w:eastAsia="Times New Roman" w:hAnsi="Times New Roman" w:cs="Times New Roman"/>
      <w:b/>
      <w:snapToGrid w:val="0"/>
      <w:sz w:val="26"/>
      <w:szCs w:val="26"/>
      <w:lang w:eastAsia="ru-RU"/>
    </w:rPr>
  </w:style>
  <w:style w:type="character" w:customStyle="1" w:styleId="60">
    <w:name w:val="Заголовок 6 Знак"/>
    <w:basedOn w:val="a0"/>
    <w:link w:val="6"/>
    <w:rsid w:val="004A4F94"/>
    <w:rPr>
      <w:rFonts w:ascii="Times New Roman" w:eastAsia="Times New Roman" w:hAnsi="Times New Roman" w:cs="Times New Roman"/>
      <w:b/>
      <w:snapToGrid w:val="0"/>
      <w:szCs w:val="26"/>
      <w:lang w:eastAsia="ru-RU"/>
    </w:rPr>
  </w:style>
  <w:style w:type="character" w:customStyle="1" w:styleId="70">
    <w:name w:val="Заголовок 7 Знак"/>
    <w:basedOn w:val="a0"/>
    <w:link w:val="7"/>
    <w:rsid w:val="004A4F94"/>
    <w:rPr>
      <w:rFonts w:ascii="Times New Roman" w:eastAsia="Times New Roman" w:hAnsi="Times New Roman" w:cs="Times New Roman"/>
      <w:snapToGrid w:val="0"/>
      <w:sz w:val="26"/>
      <w:szCs w:val="26"/>
      <w:lang w:eastAsia="ru-RU"/>
    </w:rPr>
  </w:style>
  <w:style w:type="character" w:customStyle="1" w:styleId="80">
    <w:name w:val="Заголовок 8 Знак"/>
    <w:basedOn w:val="a0"/>
    <w:link w:val="8"/>
    <w:rsid w:val="004A4F94"/>
    <w:rPr>
      <w:rFonts w:ascii="Times New Roman" w:eastAsia="Times New Roman" w:hAnsi="Times New Roman" w:cs="Times New Roman"/>
      <w:i/>
      <w:snapToGrid w:val="0"/>
      <w:sz w:val="26"/>
      <w:szCs w:val="26"/>
      <w:lang w:eastAsia="ru-RU"/>
    </w:rPr>
  </w:style>
  <w:style w:type="character" w:customStyle="1" w:styleId="90">
    <w:name w:val="Заголовок 9 Знак"/>
    <w:basedOn w:val="a0"/>
    <w:link w:val="9"/>
    <w:rsid w:val="004A4F94"/>
    <w:rPr>
      <w:rFonts w:ascii="Arial" w:eastAsia="Times New Roman" w:hAnsi="Arial" w:cs="Times New Roman"/>
      <w:snapToGrid w:val="0"/>
      <w:szCs w:val="2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704B"/>
    <w:pPr>
      <w:autoSpaceDE w:val="0"/>
      <w:autoSpaceDN w:val="0"/>
      <w:adjustRightInd w:val="0"/>
      <w:spacing w:after="0" w:line="240" w:lineRule="auto"/>
    </w:pPr>
    <w:rPr>
      <w:rFonts w:ascii="Times New Roman CYR" w:hAnsi="Times New Roman CYR" w:cs="Times New Roman CYR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93704B"/>
    <w:pPr>
      <w:outlineLvl w:val="0"/>
    </w:pPr>
  </w:style>
  <w:style w:type="paragraph" w:styleId="5">
    <w:name w:val="heading 5"/>
    <w:basedOn w:val="a"/>
    <w:next w:val="a"/>
    <w:link w:val="50"/>
    <w:qFormat/>
    <w:rsid w:val="004A4F94"/>
    <w:pPr>
      <w:keepNext/>
      <w:numPr>
        <w:ilvl w:val="4"/>
        <w:numId w:val="5"/>
      </w:numPr>
      <w:tabs>
        <w:tab w:val="clear" w:pos="1008"/>
        <w:tab w:val="num" w:pos="360"/>
      </w:tabs>
      <w:suppressAutoHyphens/>
      <w:autoSpaceDE/>
      <w:autoSpaceDN/>
      <w:adjustRightInd/>
      <w:spacing w:before="60"/>
      <w:ind w:left="0" w:firstLine="0"/>
      <w:jc w:val="both"/>
      <w:outlineLvl w:val="4"/>
    </w:pPr>
    <w:rPr>
      <w:rFonts w:ascii="Times New Roman" w:eastAsia="Times New Roman" w:hAnsi="Times New Roman" w:cs="Times New Roman"/>
      <w:b/>
      <w:snapToGrid w:val="0"/>
      <w:sz w:val="26"/>
      <w:szCs w:val="26"/>
      <w:lang w:eastAsia="ru-RU"/>
    </w:rPr>
  </w:style>
  <w:style w:type="paragraph" w:styleId="6">
    <w:name w:val="heading 6"/>
    <w:basedOn w:val="a"/>
    <w:next w:val="a"/>
    <w:link w:val="60"/>
    <w:qFormat/>
    <w:rsid w:val="004A4F94"/>
    <w:pPr>
      <w:widowControl w:val="0"/>
      <w:numPr>
        <w:ilvl w:val="5"/>
        <w:numId w:val="5"/>
      </w:numPr>
      <w:tabs>
        <w:tab w:val="clear" w:pos="1152"/>
        <w:tab w:val="num" w:pos="360"/>
      </w:tabs>
      <w:suppressAutoHyphens/>
      <w:autoSpaceDE/>
      <w:autoSpaceDN/>
      <w:adjustRightInd/>
      <w:spacing w:before="240" w:after="60"/>
      <w:ind w:left="0" w:firstLine="0"/>
      <w:jc w:val="both"/>
      <w:outlineLvl w:val="5"/>
    </w:pPr>
    <w:rPr>
      <w:rFonts w:ascii="Times New Roman" w:eastAsia="Times New Roman" w:hAnsi="Times New Roman" w:cs="Times New Roman"/>
      <w:b/>
      <w:snapToGrid w:val="0"/>
      <w:sz w:val="22"/>
      <w:szCs w:val="26"/>
      <w:lang w:eastAsia="ru-RU"/>
    </w:rPr>
  </w:style>
  <w:style w:type="paragraph" w:styleId="7">
    <w:name w:val="heading 7"/>
    <w:basedOn w:val="a"/>
    <w:next w:val="a"/>
    <w:link w:val="70"/>
    <w:qFormat/>
    <w:rsid w:val="004A4F94"/>
    <w:pPr>
      <w:widowControl w:val="0"/>
      <w:numPr>
        <w:ilvl w:val="6"/>
        <w:numId w:val="5"/>
      </w:numPr>
      <w:tabs>
        <w:tab w:val="clear" w:pos="1296"/>
        <w:tab w:val="num" w:pos="360"/>
      </w:tabs>
      <w:suppressAutoHyphens/>
      <w:autoSpaceDE/>
      <w:autoSpaceDN/>
      <w:adjustRightInd/>
      <w:spacing w:before="240" w:after="60"/>
      <w:ind w:left="0" w:firstLine="0"/>
      <w:jc w:val="both"/>
      <w:outlineLvl w:val="6"/>
    </w:pPr>
    <w:rPr>
      <w:rFonts w:ascii="Times New Roman" w:eastAsia="Times New Roman" w:hAnsi="Times New Roman" w:cs="Times New Roman"/>
      <w:snapToGrid w:val="0"/>
      <w:sz w:val="26"/>
      <w:szCs w:val="26"/>
      <w:lang w:eastAsia="ru-RU"/>
    </w:rPr>
  </w:style>
  <w:style w:type="paragraph" w:styleId="8">
    <w:name w:val="heading 8"/>
    <w:basedOn w:val="a"/>
    <w:next w:val="a"/>
    <w:link w:val="80"/>
    <w:qFormat/>
    <w:rsid w:val="004A4F94"/>
    <w:pPr>
      <w:widowControl w:val="0"/>
      <w:numPr>
        <w:ilvl w:val="7"/>
        <w:numId w:val="5"/>
      </w:numPr>
      <w:tabs>
        <w:tab w:val="clear" w:pos="1440"/>
        <w:tab w:val="num" w:pos="360"/>
      </w:tabs>
      <w:suppressAutoHyphens/>
      <w:autoSpaceDE/>
      <w:autoSpaceDN/>
      <w:adjustRightInd/>
      <w:spacing w:before="240" w:after="60"/>
      <w:ind w:left="0" w:firstLine="0"/>
      <w:jc w:val="both"/>
      <w:outlineLvl w:val="7"/>
    </w:pPr>
    <w:rPr>
      <w:rFonts w:ascii="Times New Roman" w:eastAsia="Times New Roman" w:hAnsi="Times New Roman" w:cs="Times New Roman"/>
      <w:i/>
      <w:snapToGrid w:val="0"/>
      <w:sz w:val="26"/>
      <w:szCs w:val="26"/>
      <w:lang w:eastAsia="ru-RU"/>
    </w:rPr>
  </w:style>
  <w:style w:type="paragraph" w:styleId="9">
    <w:name w:val="heading 9"/>
    <w:basedOn w:val="a"/>
    <w:next w:val="a"/>
    <w:link w:val="90"/>
    <w:qFormat/>
    <w:rsid w:val="004A4F94"/>
    <w:pPr>
      <w:widowControl w:val="0"/>
      <w:numPr>
        <w:ilvl w:val="8"/>
        <w:numId w:val="5"/>
      </w:numPr>
      <w:tabs>
        <w:tab w:val="clear" w:pos="1584"/>
        <w:tab w:val="num" w:pos="360"/>
      </w:tabs>
      <w:suppressAutoHyphens/>
      <w:autoSpaceDE/>
      <w:autoSpaceDN/>
      <w:adjustRightInd/>
      <w:spacing w:before="240" w:after="60"/>
      <w:ind w:left="0" w:firstLine="0"/>
      <w:jc w:val="both"/>
      <w:outlineLvl w:val="8"/>
    </w:pPr>
    <w:rPr>
      <w:rFonts w:ascii="Arial" w:eastAsia="Times New Roman" w:hAnsi="Arial" w:cs="Times New Roman"/>
      <w:snapToGrid w:val="0"/>
      <w:sz w:val="22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93704B"/>
    <w:rPr>
      <w:rFonts w:ascii="Times New Roman CYR" w:hAnsi="Times New Roman CYR" w:cs="Times New Roman CYR"/>
      <w:sz w:val="24"/>
      <w:szCs w:val="24"/>
    </w:rPr>
  </w:style>
  <w:style w:type="paragraph" w:styleId="a3">
    <w:name w:val="header"/>
    <w:basedOn w:val="a"/>
    <w:link w:val="a4"/>
    <w:uiPriority w:val="99"/>
    <w:unhideWhenUsed/>
    <w:rsid w:val="005329C6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5329C6"/>
    <w:rPr>
      <w:rFonts w:ascii="Times New Roman CYR" w:hAnsi="Times New Roman CYR" w:cs="Times New Roman CYR"/>
      <w:sz w:val="24"/>
      <w:szCs w:val="24"/>
    </w:rPr>
  </w:style>
  <w:style w:type="paragraph" w:styleId="a5">
    <w:name w:val="footer"/>
    <w:basedOn w:val="a"/>
    <w:link w:val="a6"/>
    <w:uiPriority w:val="99"/>
    <w:unhideWhenUsed/>
    <w:rsid w:val="005329C6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5329C6"/>
    <w:rPr>
      <w:rFonts w:ascii="Times New Roman CYR" w:hAnsi="Times New Roman CYR" w:cs="Times New Roman CYR"/>
      <w:sz w:val="24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AA0FC3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AA0FC3"/>
    <w:rPr>
      <w:rFonts w:ascii="Tahoma" w:hAnsi="Tahoma" w:cs="Tahoma"/>
      <w:sz w:val="16"/>
      <w:szCs w:val="16"/>
    </w:rPr>
  </w:style>
  <w:style w:type="paragraph" w:styleId="a9">
    <w:name w:val="List Paragraph"/>
    <w:basedOn w:val="a"/>
    <w:uiPriority w:val="34"/>
    <w:qFormat/>
    <w:rsid w:val="00BE1251"/>
    <w:pPr>
      <w:ind w:left="720"/>
      <w:contextualSpacing/>
    </w:pPr>
  </w:style>
  <w:style w:type="character" w:styleId="aa">
    <w:name w:val="Placeholder Text"/>
    <w:basedOn w:val="a0"/>
    <w:uiPriority w:val="99"/>
    <w:semiHidden/>
    <w:rsid w:val="00C728BB"/>
    <w:rPr>
      <w:color w:val="808080"/>
    </w:rPr>
  </w:style>
  <w:style w:type="paragraph" w:styleId="2">
    <w:name w:val="toc 2"/>
    <w:basedOn w:val="a"/>
    <w:next w:val="a"/>
    <w:autoRedefine/>
    <w:uiPriority w:val="39"/>
    <w:rsid w:val="006B2F0A"/>
    <w:pPr>
      <w:tabs>
        <w:tab w:val="right" w:leader="dot" w:pos="10195"/>
      </w:tabs>
      <w:autoSpaceDE/>
      <w:autoSpaceDN/>
      <w:adjustRightInd/>
      <w:spacing w:before="120" w:after="60"/>
      <w:ind w:left="1134" w:right="845" w:hanging="595"/>
    </w:pPr>
    <w:rPr>
      <w:rFonts w:ascii="Times New Roman" w:eastAsia="Times New Roman" w:hAnsi="Times New Roman" w:cs="Times New Roman"/>
      <w:b/>
      <w:noProof/>
      <w:snapToGrid w:val="0"/>
      <w:szCs w:val="32"/>
      <w:lang w:val="sr-Cyrl-CS" w:eastAsia="ru-RU"/>
    </w:rPr>
  </w:style>
  <w:style w:type="character" w:customStyle="1" w:styleId="50">
    <w:name w:val="Заголовок 5 Знак"/>
    <w:basedOn w:val="a0"/>
    <w:link w:val="5"/>
    <w:rsid w:val="004A4F94"/>
    <w:rPr>
      <w:rFonts w:ascii="Times New Roman" w:eastAsia="Times New Roman" w:hAnsi="Times New Roman" w:cs="Times New Roman"/>
      <w:b/>
      <w:snapToGrid w:val="0"/>
      <w:sz w:val="26"/>
      <w:szCs w:val="26"/>
      <w:lang w:eastAsia="ru-RU"/>
    </w:rPr>
  </w:style>
  <w:style w:type="character" w:customStyle="1" w:styleId="60">
    <w:name w:val="Заголовок 6 Знак"/>
    <w:basedOn w:val="a0"/>
    <w:link w:val="6"/>
    <w:rsid w:val="004A4F94"/>
    <w:rPr>
      <w:rFonts w:ascii="Times New Roman" w:eastAsia="Times New Roman" w:hAnsi="Times New Roman" w:cs="Times New Roman"/>
      <w:b/>
      <w:snapToGrid w:val="0"/>
      <w:szCs w:val="26"/>
      <w:lang w:eastAsia="ru-RU"/>
    </w:rPr>
  </w:style>
  <w:style w:type="character" w:customStyle="1" w:styleId="70">
    <w:name w:val="Заголовок 7 Знак"/>
    <w:basedOn w:val="a0"/>
    <w:link w:val="7"/>
    <w:rsid w:val="004A4F94"/>
    <w:rPr>
      <w:rFonts w:ascii="Times New Roman" w:eastAsia="Times New Roman" w:hAnsi="Times New Roman" w:cs="Times New Roman"/>
      <w:snapToGrid w:val="0"/>
      <w:sz w:val="26"/>
      <w:szCs w:val="26"/>
      <w:lang w:eastAsia="ru-RU"/>
    </w:rPr>
  </w:style>
  <w:style w:type="character" w:customStyle="1" w:styleId="80">
    <w:name w:val="Заголовок 8 Знак"/>
    <w:basedOn w:val="a0"/>
    <w:link w:val="8"/>
    <w:rsid w:val="004A4F94"/>
    <w:rPr>
      <w:rFonts w:ascii="Times New Roman" w:eastAsia="Times New Roman" w:hAnsi="Times New Roman" w:cs="Times New Roman"/>
      <w:i/>
      <w:snapToGrid w:val="0"/>
      <w:sz w:val="26"/>
      <w:szCs w:val="26"/>
      <w:lang w:eastAsia="ru-RU"/>
    </w:rPr>
  </w:style>
  <w:style w:type="character" w:customStyle="1" w:styleId="90">
    <w:name w:val="Заголовок 9 Знак"/>
    <w:basedOn w:val="a0"/>
    <w:link w:val="9"/>
    <w:rsid w:val="004A4F94"/>
    <w:rPr>
      <w:rFonts w:ascii="Arial" w:eastAsia="Times New Roman" w:hAnsi="Arial" w:cs="Times New Roman"/>
      <w:snapToGrid w:val="0"/>
      <w:szCs w:val="2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63701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D1E9E2A-AFEA-4379-832E-B8BAF97A5F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1180</Words>
  <Characters>6729</Characters>
  <Application>Microsoft Office Word</Application>
  <DocSecurity>4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UserPEO</cp:lastModifiedBy>
  <cp:revision>2</cp:revision>
  <cp:lastPrinted>2021-06-02T13:30:00Z</cp:lastPrinted>
  <dcterms:created xsi:type="dcterms:W3CDTF">2021-06-21T12:37:00Z</dcterms:created>
  <dcterms:modified xsi:type="dcterms:W3CDTF">2021-06-21T12:37:00Z</dcterms:modified>
</cp:coreProperties>
</file>